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9816FA" w14:textId="77777777" w:rsidR="00F90774" w:rsidRDefault="00F90774">
      <w:pPr>
        <w:jc w:val="center"/>
        <w:rPr>
          <w:rFonts w:ascii="Times New Roman" w:eastAsia="Times New Roman" w:hAnsi="Times New Roman" w:cs="Times New Roman"/>
        </w:rPr>
      </w:pPr>
    </w:p>
    <w:p w14:paraId="0867624B" w14:textId="1BD731A4" w:rsidR="00657D48" w:rsidRDefault="003F3EEB">
      <w:pPr>
        <w:jc w:val="center"/>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noProof/>
        </w:rPr>
        <w:drawing>
          <wp:inline distT="0" distB="0" distL="0" distR="0" wp14:anchorId="6D243A34" wp14:editId="21D9BFE0">
            <wp:extent cx="4602682" cy="800886"/>
            <wp:effectExtent l="0" t="0" r="0" b="0"/>
            <wp:docPr id="20" name="image21.png" descr="Centro de Altos Estudios Nacionales CAEN"/>
            <wp:cNvGraphicFramePr/>
            <a:graphic xmlns:a="http://schemas.openxmlformats.org/drawingml/2006/main">
              <a:graphicData uri="http://schemas.openxmlformats.org/drawingml/2006/picture">
                <pic:pic xmlns:pic="http://schemas.openxmlformats.org/drawingml/2006/picture">
                  <pic:nvPicPr>
                    <pic:cNvPr id="0" name="image21.png" descr="Centro de Altos Estudios Nacionales CAEN"/>
                    <pic:cNvPicPr preferRelativeResize="0"/>
                  </pic:nvPicPr>
                  <pic:blipFill>
                    <a:blip r:embed="rId8"/>
                    <a:srcRect/>
                    <a:stretch>
                      <a:fillRect/>
                    </a:stretch>
                  </pic:blipFill>
                  <pic:spPr>
                    <a:xfrm>
                      <a:off x="0" y="0"/>
                      <a:ext cx="4602682" cy="800886"/>
                    </a:xfrm>
                    <a:prstGeom prst="rect">
                      <a:avLst/>
                    </a:prstGeom>
                    <a:ln/>
                  </pic:spPr>
                </pic:pic>
              </a:graphicData>
            </a:graphic>
          </wp:inline>
        </w:drawing>
      </w:r>
    </w:p>
    <w:p w14:paraId="01329358"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p>
    <w:p w14:paraId="0C4B3E03"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0"/>
          <w:szCs w:val="20"/>
        </w:rPr>
      </w:pPr>
    </w:p>
    <w:p w14:paraId="564D8C08" w14:textId="7E8A571D" w:rsidR="00657D48" w:rsidRDefault="000B67FE" w:rsidP="000B67FE">
      <w:pPr>
        <w:pBdr>
          <w:top w:val="nil"/>
          <w:left w:val="nil"/>
          <w:bottom w:val="nil"/>
          <w:right w:val="nil"/>
          <w:between w:val="nil"/>
        </w:pBdr>
        <w:spacing w:after="0"/>
        <w:ind w:right="49"/>
        <w:jc w:val="center"/>
        <w:rPr>
          <w:rFonts w:ascii="Times New Roman" w:eastAsia="Times New Roman" w:hAnsi="Times New Roman" w:cs="Times New Roman"/>
          <w:b/>
          <w:color w:val="000000"/>
          <w:sz w:val="28"/>
          <w:szCs w:val="28"/>
        </w:rPr>
      </w:pPr>
      <w:bookmarkStart w:id="0" w:name="_Hlk106958845"/>
      <w:r>
        <w:rPr>
          <w:rFonts w:ascii="Times New Roman" w:eastAsia="Times New Roman" w:hAnsi="Times New Roman" w:cs="Times New Roman"/>
          <w:b/>
          <w:color w:val="000000"/>
          <w:sz w:val="28"/>
          <w:szCs w:val="28"/>
        </w:rPr>
        <w:t>“</w:t>
      </w:r>
      <w:r w:rsidR="003F3EEB">
        <w:rPr>
          <w:rFonts w:ascii="Times New Roman" w:eastAsia="Times New Roman" w:hAnsi="Times New Roman" w:cs="Times New Roman"/>
          <w:b/>
          <w:color w:val="000000"/>
          <w:sz w:val="28"/>
          <w:szCs w:val="28"/>
        </w:rPr>
        <w:t>LA GESTIÓN DEL RIESGO DE DESASTRES EN LOS PROCESOS DE REDUCCIÓN DEL RIESGO, PREPARACIÓN Y RESPUESTA Y SU COMPETENCIA EN EL SECTOR DEFENSA AÑO 2021</w:t>
      </w:r>
      <w:bookmarkEnd w:id="0"/>
      <w:r>
        <w:rPr>
          <w:rFonts w:ascii="Times New Roman" w:eastAsia="Times New Roman" w:hAnsi="Times New Roman" w:cs="Times New Roman"/>
          <w:b/>
          <w:color w:val="000000"/>
          <w:sz w:val="28"/>
          <w:szCs w:val="28"/>
        </w:rPr>
        <w:t>”</w:t>
      </w:r>
    </w:p>
    <w:p w14:paraId="20494482" w14:textId="77777777" w:rsidR="000B67FE" w:rsidRDefault="000B67FE" w:rsidP="000B67FE">
      <w:pPr>
        <w:pBdr>
          <w:top w:val="nil"/>
          <w:left w:val="nil"/>
          <w:bottom w:val="nil"/>
          <w:right w:val="nil"/>
          <w:between w:val="nil"/>
        </w:pBdr>
        <w:spacing w:after="0"/>
        <w:ind w:right="49"/>
        <w:jc w:val="center"/>
        <w:rPr>
          <w:rFonts w:ascii="Times New Roman" w:eastAsia="Times New Roman" w:hAnsi="Times New Roman" w:cs="Times New Roman"/>
          <w:b/>
          <w:color w:val="000000"/>
          <w:sz w:val="22"/>
          <w:szCs w:val="22"/>
        </w:rPr>
      </w:pPr>
      <w:bookmarkStart w:id="1" w:name="_GoBack"/>
      <w:bookmarkEnd w:id="1"/>
    </w:p>
    <w:p w14:paraId="7801FA5A" w14:textId="1579CB6E" w:rsidR="00657D48" w:rsidRDefault="003F3EEB">
      <w:pPr>
        <w:pBdr>
          <w:top w:val="nil"/>
          <w:left w:val="nil"/>
          <w:bottom w:val="nil"/>
          <w:right w:val="nil"/>
          <w:between w:val="nil"/>
        </w:pBdr>
        <w:spacing w:after="0" w:line="24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rPr>
        <w:t>TESIS PARA OPTAR AL GRADO ACADÉMICO DE MA</w:t>
      </w:r>
      <w:r w:rsidR="003D06B8">
        <w:rPr>
          <w:rFonts w:ascii="Times New Roman" w:eastAsia="Times New Roman" w:hAnsi="Times New Roman" w:cs="Times New Roman"/>
          <w:b/>
          <w:color w:val="000000"/>
        </w:rPr>
        <w:t>ESTRO</w:t>
      </w:r>
      <w:r>
        <w:rPr>
          <w:rFonts w:ascii="Times New Roman" w:eastAsia="Times New Roman" w:hAnsi="Times New Roman" w:cs="Times New Roman"/>
          <w:b/>
          <w:color w:val="000000"/>
        </w:rPr>
        <w:t xml:space="preserve"> EN GESTIÓN DEL RIESGO DE DESASTRES</w:t>
      </w:r>
    </w:p>
    <w:p w14:paraId="7EEE3AAA"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2"/>
          <w:szCs w:val="22"/>
        </w:rPr>
      </w:pPr>
    </w:p>
    <w:p w14:paraId="144D8239"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sz w:val="32"/>
          <w:szCs w:val="32"/>
        </w:rPr>
      </w:pPr>
    </w:p>
    <w:p w14:paraId="7C897EEC" w14:textId="77777777" w:rsidR="00657D48" w:rsidRDefault="003F3EEB">
      <w:pPr>
        <w:pBdr>
          <w:top w:val="nil"/>
          <w:left w:val="nil"/>
          <w:bottom w:val="nil"/>
          <w:right w:val="nil"/>
          <w:between w:val="nil"/>
        </w:pBdr>
        <w:spacing w:after="0" w:line="240" w:lineRule="auto"/>
        <w:ind w:right="-2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AUTOR:</w:t>
      </w:r>
    </w:p>
    <w:p w14:paraId="41D7291B" w14:textId="77777777" w:rsidR="00657D48" w:rsidRPr="000B67FE"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7650D6EF" w14:textId="28A0D44F" w:rsidR="00657D48" w:rsidRPr="000B67FE" w:rsidRDefault="000B67FE" w:rsidP="000B67FE">
      <w:pPr>
        <w:tabs>
          <w:tab w:val="left" w:pos="8222"/>
        </w:tabs>
        <w:spacing w:line="276" w:lineRule="auto"/>
        <w:ind w:right="-2"/>
        <w:jc w:val="center"/>
        <w:rPr>
          <w:rFonts w:ascii="Times New Roman" w:eastAsia="Times New Roman" w:hAnsi="Times New Roman" w:cs="Times New Roman"/>
        </w:rPr>
      </w:pPr>
      <w:r w:rsidRPr="000B67FE">
        <w:rPr>
          <w:rFonts w:ascii="Times New Roman" w:eastAsia="Times New Roman" w:hAnsi="Times New Roman" w:cs="Times New Roman"/>
        </w:rPr>
        <w:t xml:space="preserve">BACHILLER MIGUEL ANTONIO </w:t>
      </w:r>
      <w:r w:rsidR="003F3EEB" w:rsidRPr="000B67FE">
        <w:rPr>
          <w:rFonts w:ascii="Times New Roman" w:eastAsia="Times New Roman" w:hAnsi="Times New Roman" w:cs="Times New Roman"/>
        </w:rPr>
        <w:t>GONZALES</w:t>
      </w:r>
      <w:r w:rsidRPr="000B67FE">
        <w:rPr>
          <w:rFonts w:ascii="Times New Roman" w:eastAsia="Times New Roman" w:hAnsi="Times New Roman" w:cs="Times New Roman"/>
        </w:rPr>
        <w:t xml:space="preserve"> LARA</w:t>
      </w:r>
      <w:r w:rsidR="003F3EEB" w:rsidRPr="000B67FE">
        <w:rPr>
          <w:rFonts w:ascii="Times New Roman" w:eastAsia="Times New Roman" w:hAnsi="Times New Roman" w:cs="Times New Roman"/>
        </w:rPr>
        <w:t xml:space="preserve"> </w:t>
      </w:r>
    </w:p>
    <w:p w14:paraId="75D60D6D" w14:textId="77777777" w:rsidR="00657D48" w:rsidRDefault="00657D48" w:rsidP="000B67FE">
      <w:pPr>
        <w:pBdr>
          <w:top w:val="nil"/>
          <w:left w:val="nil"/>
          <w:bottom w:val="nil"/>
          <w:right w:val="nil"/>
          <w:between w:val="nil"/>
        </w:pBdr>
        <w:spacing w:after="0" w:line="276" w:lineRule="auto"/>
        <w:jc w:val="center"/>
        <w:rPr>
          <w:rFonts w:ascii="Times New Roman" w:eastAsia="Times New Roman" w:hAnsi="Times New Roman" w:cs="Times New Roman"/>
          <w:color w:val="000000"/>
          <w:sz w:val="32"/>
          <w:szCs w:val="32"/>
        </w:rPr>
      </w:pPr>
    </w:p>
    <w:p w14:paraId="2FCE01D7" w14:textId="46115CF6" w:rsidR="00657D48" w:rsidRDefault="000B67FE">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REVISOR -ASESOR</w:t>
      </w:r>
      <w:r w:rsidR="003F3EEB">
        <w:rPr>
          <w:rFonts w:ascii="Times New Roman" w:eastAsia="Times New Roman" w:hAnsi="Times New Roman" w:cs="Times New Roman"/>
          <w:b/>
          <w:color w:val="000000"/>
          <w:sz w:val="28"/>
          <w:szCs w:val="28"/>
        </w:rPr>
        <w:t>:</w:t>
      </w:r>
    </w:p>
    <w:p w14:paraId="05EEB57E"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768EEDAB" w14:textId="2E625E12" w:rsidR="000B67FE" w:rsidRDefault="000B67FE" w:rsidP="000B67FE">
      <w:pPr>
        <w:pStyle w:val="Textoindependiente"/>
        <w:spacing w:line="362" w:lineRule="auto"/>
        <w:ind w:left="1134" w:right="282"/>
        <w:jc w:val="center"/>
      </w:pPr>
      <w:r>
        <w:t>METODOLÓGICO:</w:t>
      </w:r>
      <w:r>
        <w:rPr>
          <w:spacing w:val="-3"/>
        </w:rPr>
        <w:t xml:space="preserve"> </w:t>
      </w:r>
      <w:r>
        <w:t>DR.</w:t>
      </w:r>
      <w:r>
        <w:rPr>
          <w:spacing w:val="-3"/>
        </w:rPr>
        <w:t xml:space="preserve"> </w:t>
      </w:r>
      <w:r>
        <w:t>SEMINARIO</w:t>
      </w:r>
      <w:r>
        <w:rPr>
          <w:spacing w:val="-3"/>
        </w:rPr>
        <w:t xml:space="preserve"> </w:t>
      </w:r>
      <w:r>
        <w:t>CORREA</w:t>
      </w:r>
      <w:r>
        <w:rPr>
          <w:spacing w:val="-3"/>
        </w:rPr>
        <w:t xml:space="preserve"> </w:t>
      </w:r>
      <w:r>
        <w:t>FRANCISCO</w:t>
      </w:r>
    </w:p>
    <w:p w14:paraId="668AA165" w14:textId="3B7C5427" w:rsidR="003D7820" w:rsidRDefault="000B67FE" w:rsidP="000B67FE">
      <w:pPr>
        <w:pStyle w:val="Textoindependiente"/>
        <w:spacing w:line="362" w:lineRule="auto"/>
        <w:ind w:left="1134" w:right="282"/>
        <w:jc w:val="center"/>
        <w:rPr>
          <w:spacing w:val="1"/>
        </w:rPr>
      </w:pPr>
      <w:r>
        <w:t>TEMÁTICO: MTRA. GIRALDO LIMO MARTHA</w:t>
      </w:r>
    </w:p>
    <w:p w14:paraId="013C6E8C" w14:textId="3620E1D0" w:rsidR="003D7820" w:rsidRDefault="000B67FE" w:rsidP="000B67FE">
      <w:pPr>
        <w:pStyle w:val="Textoindependiente"/>
        <w:spacing w:line="362" w:lineRule="auto"/>
        <w:ind w:left="1134" w:right="282"/>
        <w:jc w:val="center"/>
      </w:pPr>
      <w:r>
        <w:t>TEMÁTICO: MTRA. QUIROZ MIRANDA SARA ELENA</w:t>
      </w:r>
    </w:p>
    <w:p w14:paraId="2E7AACB7"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p>
    <w:p w14:paraId="3340B55C"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p>
    <w:p w14:paraId="547A4BD5" w14:textId="77777777" w:rsidR="00657D48" w:rsidRDefault="003F3EEB">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LÍNEA DE INVESTIGACIÓN</w:t>
      </w:r>
    </w:p>
    <w:p w14:paraId="72BC1A2B"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3544E420" w14:textId="120726B1" w:rsidR="00657D48" w:rsidRPr="000B67FE" w:rsidRDefault="000B67FE">
      <w:pPr>
        <w:pBdr>
          <w:top w:val="nil"/>
          <w:left w:val="nil"/>
          <w:bottom w:val="nil"/>
          <w:right w:val="nil"/>
          <w:between w:val="nil"/>
        </w:pBd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r w:rsidRPr="000B67FE">
        <w:rPr>
          <w:rFonts w:ascii="Times New Roman" w:eastAsia="Times New Roman" w:hAnsi="Times New Roman" w:cs="Times New Roman"/>
          <w:color w:val="000000"/>
        </w:rPr>
        <w:t>SEGURIDAD</w:t>
      </w:r>
      <w:r>
        <w:rPr>
          <w:rFonts w:ascii="Times New Roman" w:eastAsia="Times New Roman" w:hAnsi="Times New Roman" w:cs="Times New Roman"/>
          <w:color w:val="000000"/>
        </w:rPr>
        <w:t>: POLÍTICA Y SEGURIDAD NACIONAL”</w:t>
      </w:r>
    </w:p>
    <w:p w14:paraId="2EF066E2" w14:textId="41907BB3"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5EE64A68" w14:textId="5311BFC0" w:rsidR="000B67FE" w:rsidRDefault="000B67FE">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6AF5F9E5" w14:textId="77777777" w:rsidR="000B67FE" w:rsidRDefault="000B67FE">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57A7BBF9" w14:textId="77777777" w:rsidR="00657D48" w:rsidRDefault="00657D48">
      <w:pPr>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1EEBE0A4" w14:textId="77777777" w:rsidR="00657D48" w:rsidRDefault="003F3EEB">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LIMA - PERÚ</w:t>
      </w:r>
    </w:p>
    <w:p w14:paraId="0E00FB61" w14:textId="77777777" w:rsidR="00657D48" w:rsidRDefault="003F3EEB">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rPr>
        <w:sectPr w:rsidR="00657D48">
          <w:headerReference w:type="default" r:id="rId9"/>
          <w:footerReference w:type="default" r:id="rId10"/>
          <w:headerReference w:type="first" r:id="rId11"/>
          <w:pgSz w:w="11906" w:h="16838"/>
          <w:pgMar w:top="1701" w:right="1701" w:bottom="1701" w:left="2268" w:header="709" w:footer="709" w:gutter="0"/>
          <w:pgNumType w:start="1"/>
          <w:cols w:space="720"/>
          <w:titlePg/>
        </w:sectPr>
      </w:pPr>
      <w:r>
        <w:rPr>
          <w:rFonts w:ascii="Times New Roman" w:eastAsia="Times New Roman" w:hAnsi="Times New Roman" w:cs="Times New Roman"/>
          <w:color w:val="000000"/>
          <w:sz w:val="28"/>
          <w:szCs w:val="28"/>
        </w:rPr>
        <w:t>2022</w:t>
      </w:r>
    </w:p>
    <w:p w14:paraId="7C76583C" w14:textId="77777777" w:rsidR="00657D48" w:rsidRDefault="00657D48">
      <w:pPr>
        <w:spacing w:after="200"/>
        <w:ind w:left="4253"/>
        <w:rPr>
          <w:rFonts w:ascii="Times New Roman" w:eastAsia="Times New Roman" w:hAnsi="Times New Roman" w:cs="Times New Roman"/>
          <w:sz w:val="18"/>
          <w:szCs w:val="18"/>
        </w:rPr>
      </w:pPr>
    </w:p>
    <w:p w14:paraId="6323F267" w14:textId="77777777" w:rsidR="00657D48" w:rsidRDefault="00657D48">
      <w:pPr>
        <w:spacing w:after="200"/>
        <w:ind w:left="4253"/>
        <w:jc w:val="center"/>
        <w:rPr>
          <w:rFonts w:ascii="Times New Roman" w:eastAsia="Times New Roman" w:hAnsi="Times New Roman" w:cs="Times New Roman"/>
          <w:sz w:val="18"/>
          <w:szCs w:val="18"/>
        </w:rPr>
      </w:pPr>
    </w:p>
    <w:p w14:paraId="751735F4" w14:textId="77777777" w:rsidR="00657D48" w:rsidRDefault="00657D48">
      <w:pPr>
        <w:spacing w:after="200"/>
        <w:ind w:left="4253"/>
        <w:jc w:val="center"/>
        <w:rPr>
          <w:rFonts w:ascii="Times New Roman" w:eastAsia="Times New Roman" w:hAnsi="Times New Roman" w:cs="Times New Roman"/>
          <w:sz w:val="18"/>
          <w:szCs w:val="18"/>
        </w:rPr>
      </w:pPr>
    </w:p>
    <w:p w14:paraId="167DB7FF" w14:textId="77777777" w:rsidR="00657D48" w:rsidRDefault="00657D48">
      <w:pPr>
        <w:spacing w:after="200"/>
        <w:ind w:left="4253"/>
        <w:jc w:val="center"/>
        <w:rPr>
          <w:rFonts w:ascii="Times New Roman" w:eastAsia="Times New Roman" w:hAnsi="Times New Roman" w:cs="Times New Roman"/>
          <w:sz w:val="18"/>
          <w:szCs w:val="18"/>
        </w:rPr>
      </w:pPr>
    </w:p>
    <w:p w14:paraId="0DD3D2EF" w14:textId="1F57E299" w:rsidR="00657D48" w:rsidRDefault="003F3EEB">
      <w:pPr>
        <w:spacing w:after="200"/>
        <w:jc w:val="center"/>
        <w:rPr>
          <w:rFonts w:ascii="Times New Roman" w:eastAsia="Times New Roman" w:hAnsi="Times New Roman" w:cs="Times New Roman"/>
        </w:rPr>
      </w:pPr>
      <w:r>
        <w:rPr>
          <w:rFonts w:ascii="Times New Roman" w:eastAsia="Times New Roman" w:hAnsi="Times New Roman" w:cs="Times New Roman"/>
        </w:rPr>
        <w:t xml:space="preserve">Dr. </w:t>
      </w:r>
      <w:r w:rsidR="003D06B8">
        <w:rPr>
          <w:rFonts w:ascii="Times New Roman" w:eastAsia="Times New Roman" w:hAnsi="Times New Roman" w:cs="Times New Roman"/>
        </w:rPr>
        <w:t>Seminario Correa Francisco Enrique</w:t>
      </w:r>
    </w:p>
    <w:p w14:paraId="124FD2CC" w14:textId="77777777" w:rsidR="00657D48" w:rsidRDefault="003F3EEB">
      <w:pPr>
        <w:spacing w:after="200"/>
        <w:jc w:val="center"/>
        <w:rPr>
          <w:rFonts w:ascii="Times New Roman" w:eastAsia="Times New Roman" w:hAnsi="Times New Roman" w:cs="Times New Roman"/>
        </w:rPr>
      </w:pPr>
      <w:r>
        <w:rPr>
          <w:rFonts w:ascii="Times New Roman" w:eastAsia="Times New Roman" w:hAnsi="Times New Roman" w:cs="Times New Roman"/>
        </w:rPr>
        <w:t>Presidente</w:t>
      </w:r>
    </w:p>
    <w:p w14:paraId="1B56A9E3" w14:textId="77777777" w:rsidR="00657D48" w:rsidRDefault="00657D48">
      <w:pPr>
        <w:spacing w:after="200"/>
        <w:jc w:val="center"/>
        <w:rPr>
          <w:rFonts w:ascii="Times New Roman" w:eastAsia="Times New Roman" w:hAnsi="Times New Roman" w:cs="Times New Roman"/>
        </w:rPr>
      </w:pPr>
    </w:p>
    <w:p w14:paraId="66C031C5" w14:textId="77777777" w:rsidR="00657D48" w:rsidRDefault="00657D48">
      <w:pPr>
        <w:spacing w:after="200"/>
        <w:jc w:val="center"/>
        <w:rPr>
          <w:rFonts w:ascii="Times New Roman" w:eastAsia="Times New Roman" w:hAnsi="Times New Roman" w:cs="Times New Roman"/>
        </w:rPr>
      </w:pPr>
    </w:p>
    <w:p w14:paraId="76423744" w14:textId="77777777" w:rsidR="00657D48" w:rsidRDefault="00657D48">
      <w:pPr>
        <w:spacing w:after="200"/>
        <w:jc w:val="center"/>
        <w:rPr>
          <w:rFonts w:ascii="Times New Roman" w:eastAsia="Times New Roman" w:hAnsi="Times New Roman" w:cs="Times New Roman"/>
        </w:rPr>
      </w:pPr>
    </w:p>
    <w:p w14:paraId="2A0C2CC1" w14:textId="6CE6E6FE" w:rsidR="00657D48" w:rsidRDefault="003F3EEB">
      <w:pPr>
        <w:spacing w:after="200"/>
        <w:jc w:val="center"/>
        <w:rPr>
          <w:rFonts w:ascii="Times New Roman" w:eastAsia="Times New Roman" w:hAnsi="Times New Roman" w:cs="Times New Roman"/>
        </w:rPr>
      </w:pPr>
      <w:r>
        <w:rPr>
          <w:rFonts w:ascii="Times New Roman" w:eastAsia="Times New Roman" w:hAnsi="Times New Roman" w:cs="Times New Roman"/>
        </w:rPr>
        <w:t xml:space="preserve">Dr. </w:t>
      </w:r>
      <w:r w:rsidR="003D06B8">
        <w:rPr>
          <w:rFonts w:ascii="Times New Roman" w:eastAsia="Times New Roman" w:hAnsi="Times New Roman" w:cs="Times New Roman"/>
        </w:rPr>
        <w:t>Garcia Humantumba Camilo</w:t>
      </w:r>
    </w:p>
    <w:p w14:paraId="301DA6E8" w14:textId="77777777" w:rsidR="00657D48" w:rsidRDefault="003F3EEB">
      <w:pPr>
        <w:spacing w:after="200"/>
        <w:jc w:val="center"/>
        <w:rPr>
          <w:rFonts w:ascii="Times New Roman" w:eastAsia="Times New Roman" w:hAnsi="Times New Roman" w:cs="Times New Roman"/>
        </w:rPr>
      </w:pPr>
      <w:r>
        <w:rPr>
          <w:rFonts w:ascii="Times New Roman" w:eastAsia="Times New Roman" w:hAnsi="Times New Roman" w:cs="Times New Roman"/>
        </w:rPr>
        <w:t>Secretario</w:t>
      </w:r>
    </w:p>
    <w:p w14:paraId="7C98CDFF" w14:textId="77777777" w:rsidR="00657D48" w:rsidRDefault="00657D48">
      <w:pPr>
        <w:spacing w:after="200"/>
        <w:jc w:val="center"/>
        <w:rPr>
          <w:rFonts w:ascii="Times New Roman" w:eastAsia="Times New Roman" w:hAnsi="Times New Roman" w:cs="Times New Roman"/>
        </w:rPr>
      </w:pPr>
    </w:p>
    <w:p w14:paraId="0D23A6ED" w14:textId="77777777" w:rsidR="00657D48" w:rsidRDefault="00657D48">
      <w:pPr>
        <w:spacing w:after="200"/>
        <w:jc w:val="center"/>
        <w:rPr>
          <w:rFonts w:ascii="Times New Roman" w:eastAsia="Times New Roman" w:hAnsi="Times New Roman" w:cs="Times New Roman"/>
        </w:rPr>
      </w:pPr>
    </w:p>
    <w:p w14:paraId="2BC78C2B" w14:textId="485A4B63" w:rsidR="00657D48" w:rsidRDefault="00657D48">
      <w:pPr>
        <w:spacing w:after="200"/>
        <w:jc w:val="center"/>
        <w:rPr>
          <w:rFonts w:ascii="Times New Roman" w:eastAsia="Times New Roman" w:hAnsi="Times New Roman" w:cs="Times New Roman"/>
        </w:rPr>
      </w:pPr>
    </w:p>
    <w:p w14:paraId="72FB5AAB" w14:textId="611EB70F" w:rsidR="00657D48" w:rsidRDefault="003D06B8">
      <w:pPr>
        <w:spacing w:after="200"/>
        <w:jc w:val="center"/>
        <w:rPr>
          <w:rFonts w:ascii="Times New Roman" w:eastAsia="Times New Roman" w:hAnsi="Times New Roman" w:cs="Times New Roman"/>
        </w:rPr>
      </w:pPr>
      <w:r>
        <w:rPr>
          <w:rFonts w:ascii="Times New Roman" w:eastAsia="Times New Roman" w:hAnsi="Times New Roman" w:cs="Times New Roman"/>
        </w:rPr>
        <w:t>Mtra</w:t>
      </w:r>
      <w:r w:rsidR="003F3EEB">
        <w:rPr>
          <w:rFonts w:ascii="Times New Roman" w:eastAsia="Times New Roman" w:hAnsi="Times New Roman" w:cs="Times New Roman"/>
        </w:rPr>
        <w:t xml:space="preserve">. </w:t>
      </w:r>
      <w:r>
        <w:rPr>
          <w:rFonts w:ascii="Times New Roman" w:eastAsia="Times New Roman" w:hAnsi="Times New Roman" w:cs="Times New Roman"/>
        </w:rPr>
        <w:t>Quiroz Miranda Sara Elena</w:t>
      </w:r>
    </w:p>
    <w:p w14:paraId="2FD24151" w14:textId="77777777" w:rsidR="00657D48" w:rsidRDefault="003F3EEB">
      <w:pPr>
        <w:spacing w:after="200"/>
        <w:jc w:val="center"/>
        <w:rPr>
          <w:rFonts w:ascii="Times New Roman" w:eastAsia="Times New Roman" w:hAnsi="Times New Roman" w:cs="Times New Roman"/>
        </w:rPr>
        <w:sectPr w:rsidR="00657D48" w:rsidSect="00B12891">
          <w:headerReference w:type="first" r:id="rId12"/>
          <w:footerReference w:type="first" r:id="rId13"/>
          <w:pgSz w:w="11906" w:h="16838"/>
          <w:pgMar w:top="1701" w:right="1701" w:bottom="1701" w:left="2268" w:header="709" w:footer="709" w:gutter="0"/>
          <w:pgNumType w:fmt="lowerRoman"/>
          <w:cols w:space="720"/>
          <w:titlePg/>
        </w:sectPr>
      </w:pPr>
      <w:r>
        <w:rPr>
          <w:rFonts w:ascii="Times New Roman" w:eastAsia="Times New Roman" w:hAnsi="Times New Roman" w:cs="Times New Roman"/>
        </w:rPr>
        <w:t>Vocal</w:t>
      </w:r>
    </w:p>
    <w:p w14:paraId="3020892F" w14:textId="77777777" w:rsidR="00657D48" w:rsidRDefault="00657D48">
      <w:pPr>
        <w:spacing w:after="200"/>
        <w:jc w:val="center"/>
        <w:rPr>
          <w:rFonts w:ascii="Times New Roman" w:eastAsia="Times New Roman" w:hAnsi="Times New Roman" w:cs="Times New Roman"/>
        </w:rPr>
      </w:pPr>
    </w:p>
    <w:p w14:paraId="6B3B91DC" w14:textId="77777777" w:rsidR="00657D48" w:rsidRDefault="00657D48">
      <w:pPr>
        <w:spacing w:after="200"/>
        <w:jc w:val="center"/>
        <w:rPr>
          <w:rFonts w:ascii="Times New Roman" w:eastAsia="Times New Roman" w:hAnsi="Times New Roman" w:cs="Times New Roman"/>
        </w:rPr>
      </w:pPr>
    </w:p>
    <w:p w14:paraId="67579131" w14:textId="77777777" w:rsidR="00657D48" w:rsidRDefault="00657D48">
      <w:pPr>
        <w:spacing w:after="200"/>
        <w:jc w:val="center"/>
        <w:rPr>
          <w:rFonts w:ascii="Times New Roman" w:eastAsia="Times New Roman" w:hAnsi="Times New Roman" w:cs="Times New Roman"/>
        </w:rPr>
      </w:pPr>
    </w:p>
    <w:p w14:paraId="2569F0C6" w14:textId="77777777" w:rsidR="00657D48" w:rsidRDefault="00657D48">
      <w:pPr>
        <w:spacing w:after="200"/>
        <w:jc w:val="center"/>
        <w:rPr>
          <w:rFonts w:ascii="Times New Roman" w:eastAsia="Times New Roman" w:hAnsi="Times New Roman" w:cs="Times New Roman"/>
        </w:rPr>
      </w:pPr>
    </w:p>
    <w:p w14:paraId="6C46ABF3" w14:textId="77777777" w:rsidR="00657D48" w:rsidRDefault="00657D48">
      <w:pPr>
        <w:spacing w:after="200"/>
        <w:jc w:val="center"/>
        <w:rPr>
          <w:rFonts w:ascii="Times New Roman" w:eastAsia="Times New Roman" w:hAnsi="Times New Roman" w:cs="Times New Roman"/>
        </w:rPr>
      </w:pPr>
    </w:p>
    <w:p w14:paraId="6E3F892D" w14:textId="77777777" w:rsidR="00657D48" w:rsidRDefault="00657D48">
      <w:pPr>
        <w:spacing w:after="200"/>
        <w:jc w:val="center"/>
        <w:rPr>
          <w:rFonts w:ascii="Times New Roman" w:eastAsia="Times New Roman" w:hAnsi="Times New Roman" w:cs="Times New Roman"/>
        </w:rPr>
      </w:pPr>
    </w:p>
    <w:p w14:paraId="167E85F3" w14:textId="77777777" w:rsidR="00657D48" w:rsidRDefault="00657D48">
      <w:pPr>
        <w:spacing w:after="200"/>
        <w:jc w:val="center"/>
        <w:rPr>
          <w:rFonts w:ascii="Times New Roman" w:eastAsia="Times New Roman" w:hAnsi="Times New Roman" w:cs="Times New Roman"/>
        </w:rPr>
      </w:pPr>
    </w:p>
    <w:p w14:paraId="0EE585D6" w14:textId="77777777" w:rsidR="00657D48" w:rsidRDefault="00657D48">
      <w:pPr>
        <w:spacing w:after="200"/>
        <w:jc w:val="center"/>
        <w:rPr>
          <w:rFonts w:ascii="Times New Roman" w:eastAsia="Times New Roman" w:hAnsi="Times New Roman" w:cs="Times New Roman"/>
        </w:rPr>
      </w:pPr>
    </w:p>
    <w:p w14:paraId="164C0BF5" w14:textId="77777777" w:rsidR="00657D48" w:rsidRDefault="00657D48">
      <w:pPr>
        <w:spacing w:after="200"/>
        <w:jc w:val="center"/>
        <w:rPr>
          <w:rFonts w:ascii="Times New Roman" w:eastAsia="Times New Roman" w:hAnsi="Times New Roman" w:cs="Times New Roman"/>
        </w:rPr>
      </w:pPr>
    </w:p>
    <w:p w14:paraId="7E7365BB" w14:textId="77777777" w:rsidR="00657D48" w:rsidRDefault="00657D48">
      <w:pPr>
        <w:spacing w:after="200"/>
        <w:jc w:val="center"/>
        <w:rPr>
          <w:rFonts w:ascii="Times New Roman" w:eastAsia="Times New Roman" w:hAnsi="Times New Roman" w:cs="Times New Roman"/>
        </w:rPr>
      </w:pPr>
    </w:p>
    <w:p w14:paraId="2C12ABD3" w14:textId="77777777" w:rsidR="00657D48" w:rsidRDefault="00657D48">
      <w:pPr>
        <w:spacing w:after="200"/>
        <w:jc w:val="center"/>
        <w:rPr>
          <w:rFonts w:ascii="Times New Roman" w:eastAsia="Times New Roman" w:hAnsi="Times New Roman" w:cs="Times New Roman"/>
        </w:rPr>
      </w:pPr>
    </w:p>
    <w:p w14:paraId="63567EEA" w14:textId="77777777" w:rsidR="00657D48" w:rsidRDefault="00657D48">
      <w:pPr>
        <w:spacing w:after="200"/>
        <w:jc w:val="center"/>
        <w:rPr>
          <w:rFonts w:ascii="Times New Roman" w:eastAsia="Times New Roman" w:hAnsi="Times New Roman" w:cs="Times New Roman"/>
        </w:rPr>
      </w:pPr>
    </w:p>
    <w:p w14:paraId="084FB8DE" w14:textId="0DA99F97" w:rsidR="00657D48" w:rsidRDefault="003F3EEB" w:rsidP="003D7820">
      <w:pPr>
        <w:pStyle w:val="Ttulo1"/>
        <w:ind w:left="426"/>
      </w:pPr>
      <w:bookmarkStart w:id="2" w:name="_Toc117518878"/>
      <w:r>
        <w:t>Agradecimiento</w:t>
      </w:r>
      <w:bookmarkEnd w:id="2"/>
    </w:p>
    <w:p w14:paraId="7573D8AA" w14:textId="4161ED3D" w:rsidR="00657D48" w:rsidRDefault="003F3EEB">
      <w:pPr>
        <w:spacing w:after="200"/>
        <w:ind w:left="3969"/>
        <w:jc w:val="both"/>
        <w:rPr>
          <w:rFonts w:ascii="Times New Roman" w:eastAsia="Times New Roman" w:hAnsi="Times New Roman" w:cs="Times New Roman"/>
        </w:rPr>
      </w:pPr>
      <w:r>
        <w:rPr>
          <w:rFonts w:ascii="Times New Roman" w:eastAsia="Times New Roman" w:hAnsi="Times New Roman" w:cs="Times New Roman"/>
        </w:rPr>
        <w:t>A mi esposa y a mis hijas por su constante apoyo durante el periodo de estudio y la elaboración de la tesis.</w:t>
      </w:r>
    </w:p>
    <w:p w14:paraId="784BDE8D" w14:textId="77777777" w:rsidR="00657D48" w:rsidRDefault="003F3EEB">
      <w:pPr>
        <w:spacing w:after="200"/>
        <w:ind w:left="3969"/>
        <w:jc w:val="right"/>
        <w:rPr>
          <w:rFonts w:ascii="Times New Roman" w:eastAsia="Times New Roman" w:hAnsi="Times New Roman" w:cs="Times New Roman"/>
          <w:i/>
        </w:rPr>
        <w:sectPr w:rsidR="00657D48" w:rsidSect="00B12891">
          <w:pgSz w:w="11906" w:h="16838"/>
          <w:pgMar w:top="1701" w:right="1701" w:bottom="1701" w:left="2268" w:header="709" w:footer="709" w:gutter="0"/>
          <w:pgNumType w:fmt="lowerRoman"/>
          <w:cols w:space="720"/>
          <w:titlePg/>
        </w:sectPr>
      </w:pPr>
      <w:r>
        <w:rPr>
          <w:rFonts w:ascii="Times New Roman" w:eastAsia="Times New Roman" w:hAnsi="Times New Roman" w:cs="Times New Roman"/>
          <w:i/>
        </w:rPr>
        <w:t xml:space="preserve">Miguel Antonio Gonzales Lara </w:t>
      </w:r>
    </w:p>
    <w:p w14:paraId="11A5BD8A" w14:textId="77777777" w:rsidR="00657D48" w:rsidRDefault="00657D48">
      <w:pPr>
        <w:spacing w:after="200"/>
        <w:ind w:left="4253"/>
        <w:jc w:val="both"/>
        <w:rPr>
          <w:rFonts w:ascii="Times New Roman" w:eastAsia="Times New Roman" w:hAnsi="Times New Roman" w:cs="Times New Roman"/>
        </w:rPr>
      </w:pPr>
    </w:p>
    <w:p w14:paraId="1E65036B" w14:textId="77777777" w:rsidR="00657D48" w:rsidRDefault="00657D48">
      <w:pPr>
        <w:spacing w:after="200"/>
        <w:ind w:left="4253"/>
        <w:jc w:val="both"/>
        <w:rPr>
          <w:rFonts w:ascii="Times New Roman" w:eastAsia="Times New Roman" w:hAnsi="Times New Roman" w:cs="Times New Roman"/>
        </w:rPr>
      </w:pPr>
    </w:p>
    <w:p w14:paraId="2440E0C3" w14:textId="77777777" w:rsidR="00657D48" w:rsidRDefault="00657D48">
      <w:pPr>
        <w:spacing w:after="200"/>
        <w:ind w:left="4253"/>
        <w:jc w:val="both"/>
        <w:rPr>
          <w:rFonts w:ascii="Times New Roman" w:eastAsia="Times New Roman" w:hAnsi="Times New Roman" w:cs="Times New Roman"/>
        </w:rPr>
      </w:pPr>
    </w:p>
    <w:p w14:paraId="67FB57DA" w14:textId="77777777" w:rsidR="00657D48" w:rsidRDefault="00657D48">
      <w:pPr>
        <w:spacing w:after="200"/>
        <w:ind w:left="4253"/>
        <w:jc w:val="both"/>
        <w:rPr>
          <w:rFonts w:ascii="Times New Roman" w:eastAsia="Times New Roman" w:hAnsi="Times New Roman" w:cs="Times New Roman"/>
        </w:rPr>
      </w:pPr>
    </w:p>
    <w:p w14:paraId="30663D2F" w14:textId="77777777" w:rsidR="00657D48" w:rsidRDefault="00657D48">
      <w:pPr>
        <w:spacing w:after="200"/>
        <w:ind w:left="4253"/>
        <w:jc w:val="both"/>
        <w:rPr>
          <w:rFonts w:ascii="Times New Roman" w:eastAsia="Times New Roman" w:hAnsi="Times New Roman" w:cs="Times New Roman"/>
        </w:rPr>
      </w:pPr>
    </w:p>
    <w:p w14:paraId="5D45F8A2" w14:textId="77777777" w:rsidR="00657D48" w:rsidRDefault="00657D48">
      <w:pPr>
        <w:spacing w:after="200"/>
        <w:ind w:left="4253"/>
        <w:jc w:val="both"/>
        <w:rPr>
          <w:rFonts w:ascii="Times New Roman" w:eastAsia="Times New Roman" w:hAnsi="Times New Roman" w:cs="Times New Roman"/>
        </w:rPr>
      </w:pPr>
    </w:p>
    <w:p w14:paraId="60604068" w14:textId="77777777" w:rsidR="00657D48" w:rsidRDefault="00657D48">
      <w:pPr>
        <w:spacing w:after="200"/>
        <w:ind w:left="4253"/>
        <w:jc w:val="both"/>
        <w:rPr>
          <w:rFonts w:ascii="Times New Roman" w:eastAsia="Times New Roman" w:hAnsi="Times New Roman" w:cs="Times New Roman"/>
        </w:rPr>
      </w:pPr>
    </w:p>
    <w:p w14:paraId="6793C2A6" w14:textId="77777777" w:rsidR="00657D48" w:rsidRDefault="00657D48">
      <w:pPr>
        <w:spacing w:after="200"/>
        <w:ind w:left="4253"/>
        <w:jc w:val="both"/>
        <w:rPr>
          <w:rFonts w:ascii="Times New Roman" w:eastAsia="Times New Roman" w:hAnsi="Times New Roman" w:cs="Times New Roman"/>
        </w:rPr>
      </w:pPr>
    </w:p>
    <w:p w14:paraId="2A9F5796" w14:textId="77777777" w:rsidR="00657D48" w:rsidRDefault="00657D48">
      <w:pPr>
        <w:spacing w:after="200"/>
        <w:ind w:left="4253"/>
        <w:jc w:val="both"/>
        <w:rPr>
          <w:rFonts w:ascii="Times New Roman" w:eastAsia="Times New Roman" w:hAnsi="Times New Roman" w:cs="Times New Roman"/>
        </w:rPr>
      </w:pPr>
    </w:p>
    <w:p w14:paraId="3DEFE3F1" w14:textId="77777777" w:rsidR="00657D48" w:rsidRDefault="00657D48">
      <w:pPr>
        <w:spacing w:after="200"/>
        <w:ind w:left="4253"/>
        <w:jc w:val="both"/>
        <w:rPr>
          <w:rFonts w:ascii="Times New Roman" w:eastAsia="Times New Roman" w:hAnsi="Times New Roman" w:cs="Times New Roman"/>
        </w:rPr>
      </w:pPr>
    </w:p>
    <w:p w14:paraId="37087536" w14:textId="77777777" w:rsidR="00657D48" w:rsidRDefault="00657D48">
      <w:pPr>
        <w:spacing w:after="200"/>
        <w:ind w:left="4253"/>
        <w:jc w:val="both"/>
        <w:rPr>
          <w:rFonts w:ascii="Times New Roman" w:eastAsia="Times New Roman" w:hAnsi="Times New Roman" w:cs="Times New Roman"/>
        </w:rPr>
      </w:pPr>
    </w:p>
    <w:p w14:paraId="5A85583B" w14:textId="77777777" w:rsidR="00657D48" w:rsidRDefault="00657D48">
      <w:pPr>
        <w:spacing w:after="200"/>
        <w:ind w:left="4253"/>
        <w:jc w:val="both"/>
        <w:rPr>
          <w:rFonts w:ascii="Times New Roman" w:eastAsia="Times New Roman" w:hAnsi="Times New Roman" w:cs="Times New Roman"/>
        </w:rPr>
      </w:pPr>
    </w:p>
    <w:p w14:paraId="4896B171" w14:textId="77777777" w:rsidR="00657D48" w:rsidRDefault="00657D48">
      <w:pPr>
        <w:spacing w:after="200"/>
        <w:ind w:left="4253"/>
        <w:jc w:val="both"/>
        <w:rPr>
          <w:rFonts w:ascii="Times New Roman" w:eastAsia="Times New Roman" w:hAnsi="Times New Roman" w:cs="Times New Roman"/>
        </w:rPr>
      </w:pPr>
    </w:p>
    <w:p w14:paraId="58220601" w14:textId="77777777" w:rsidR="00657D48" w:rsidRDefault="00657D48">
      <w:pPr>
        <w:spacing w:after="200"/>
        <w:ind w:left="4253"/>
        <w:jc w:val="both"/>
        <w:rPr>
          <w:rFonts w:ascii="Times New Roman" w:eastAsia="Times New Roman" w:hAnsi="Times New Roman" w:cs="Times New Roman"/>
        </w:rPr>
      </w:pPr>
    </w:p>
    <w:p w14:paraId="2C4D38EB" w14:textId="20EBA249" w:rsidR="00657D48" w:rsidRDefault="003F3EEB">
      <w:pPr>
        <w:pStyle w:val="Ttulo1"/>
      </w:pPr>
      <w:bookmarkStart w:id="3" w:name="_Toc117518879"/>
      <w:r>
        <w:t>Dedicatoria</w:t>
      </w:r>
      <w:bookmarkEnd w:id="3"/>
    </w:p>
    <w:p w14:paraId="53BFD6EB" w14:textId="244DA78F" w:rsidR="003D7820" w:rsidRPr="003D7820" w:rsidRDefault="003D7820" w:rsidP="003D7820">
      <w:pPr>
        <w:spacing w:after="200"/>
        <w:ind w:left="3969"/>
        <w:jc w:val="both"/>
        <w:rPr>
          <w:rFonts w:ascii="Times New Roman" w:hAnsi="Times New Roman" w:cs="Times New Roman"/>
        </w:rPr>
      </w:pPr>
      <w:r w:rsidRPr="003D7820">
        <w:rPr>
          <w:rFonts w:ascii="Times New Roman" w:hAnsi="Times New Roman" w:cs="Times New Roman"/>
        </w:rPr>
        <w:t>A mi</w:t>
      </w:r>
      <w:r w:rsidR="003D06B8">
        <w:rPr>
          <w:rFonts w:ascii="Times New Roman" w:hAnsi="Times New Roman" w:cs="Times New Roman"/>
        </w:rPr>
        <w:t xml:space="preserve"> </w:t>
      </w:r>
      <w:r w:rsidRPr="003D7820">
        <w:rPr>
          <w:rFonts w:ascii="Times New Roman" w:hAnsi="Times New Roman" w:cs="Times New Roman"/>
        </w:rPr>
        <w:t xml:space="preserve">padre, mi </w:t>
      </w:r>
      <w:r w:rsidR="003D06B8">
        <w:rPr>
          <w:rFonts w:ascii="Times New Roman" w:hAnsi="Times New Roman" w:cs="Times New Roman"/>
        </w:rPr>
        <w:t xml:space="preserve">recordada y </w:t>
      </w:r>
      <w:r w:rsidRPr="003D7820">
        <w:rPr>
          <w:rFonts w:ascii="Times New Roman" w:hAnsi="Times New Roman" w:cs="Times New Roman"/>
        </w:rPr>
        <w:t>querida madre,</w:t>
      </w:r>
      <w:r w:rsidRPr="003D7820">
        <w:rPr>
          <w:rFonts w:ascii="Times New Roman" w:hAnsi="Times New Roman" w:cs="Times New Roman"/>
          <w:spacing w:val="-57"/>
        </w:rPr>
        <w:t xml:space="preserve"> </w:t>
      </w:r>
      <w:r w:rsidRPr="003D7820">
        <w:rPr>
          <w:rFonts w:ascii="Times New Roman" w:hAnsi="Times New Roman" w:cs="Times New Roman"/>
        </w:rPr>
        <w:t>mi</w:t>
      </w:r>
      <w:r w:rsidRPr="003D7820">
        <w:rPr>
          <w:rFonts w:ascii="Times New Roman" w:hAnsi="Times New Roman" w:cs="Times New Roman"/>
          <w:spacing w:val="1"/>
        </w:rPr>
        <w:t xml:space="preserve"> </w:t>
      </w:r>
      <w:r w:rsidRPr="003D7820">
        <w:rPr>
          <w:rFonts w:ascii="Times New Roman" w:hAnsi="Times New Roman" w:cs="Times New Roman"/>
        </w:rPr>
        <w:t>extraordinaria</w:t>
      </w:r>
      <w:r w:rsidRPr="003D7820">
        <w:rPr>
          <w:rFonts w:ascii="Times New Roman" w:hAnsi="Times New Roman" w:cs="Times New Roman"/>
          <w:spacing w:val="1"/>
        </w:rPr>
        <w:t xml:space="preserve"> </w:t>
      </w:r>
      <w:r w:rsidRPr="003D7820">
        <w:rPr>
          <w:rFonts w:ascii="Times New Roman" w:hAnsi="Times New Roman" w:cs="Times New Roman"/>
        </w:rPr>
        <w:t>esposa</w:t>
      </w:r>
      <w:r w:rsidRPr="003D7820">
        <w:rPr>
          <w:rFonts w:ascii="Times New Roman" w:hAnsi="Times New Roman" w:cs="Times New Roman"/>
          <w:spacing w:val="1"/>
        </w:rPr>
        <w:t xml:space="preserve"> </w:t>
      </w:r>
      <w:r w:rsidRPr="003D7820">
        <w:rPr>
          <w:rFonts w:ascii="Times New Roman" w:hAnsi="Times New Roman" w:cs="Times New Roman"/>
        </w:rPr>
        <w:t>y</w:t>
      </w:r>
      <w:r w:rsidRPr="003D7820">
        <w:rPr>
          <w:rFonts w:ascii="Times New Roman" w:hAnsi="Times New Roman" w:cs="Times New Roman"/>
          <w:spacing w:val="1"/>
        </w:rPr>
        <w:t xml:space="preserve"> </w:t>
      </w:r>
      <w:r w:rsidRPr="003D7820">
        <w:rPr>
          <w:rFonts w:ascii="Times New Roman" w:hAnsi="Times New Roman" w:cs="Times New Roman"/>
        </w:rPr>
        <w:t>mis</w:t>
      </w:r>
      <w:r w:rsidRPr="003D7820">
        <w:rPr>
          <w:rFonts w:ascii="Times New Roman" w:hAnsi="Times New Roman" w:cs="Times New Roman"/>
          <w:spacing w:val="1"/>
        </w:rPr>
        <w:t xml:space="preserve"> </w:t>
      </w:r>
      <w:r w:rsidR="003D06B8">
        <w:rPr>
          <w:rFonts w:ascii="Times New Roman" w:hAnsi="Times New Roman" w:cs="Times New Roman"/>
        </w:rPr>
        <w:t>amadas</w:t>
      </w:r>
      <w:r w:rsidRPr="003D7820">
        <w:rPr>
          <w:rFonts w:ascii="Times New Roman" w:hAnsi="Times New Roman" w:cs="Times New Roman"/>
          <w:spacing w:val="1"/>
        </w:rPr>
        <w:t xml:space="preserve"> </w:t>
      </w:r>
      <w:r w:rsidRPr="003D7820">
        <w:rPr>
          <w:rFonts w:ascii="Times New Roman" w:hAnsi="Times New Roman" w:cs="Times New Roman"/>
        </w:rPr>
        <w:t>hijas.</w:t>
      </w:r>
    </w:p>
    <w:p w14:paraId="2FAB5E11" w14:textId="4599670E" w:rsidR="00657D48" w:rsidRDefault="003D06B8">
      <w:pPr>
        <w:spacing w:after="200"/>
        <w:ind w:left="3969"/>
        <w:jc w:val="both"/>
      </w:pPr>
      <w:r>
        <w:rPr>
          <w:rFonts w:ascii="Times New Roman" w:eastAsia="Times New Roman" w:hAnsi="Times New Roman" w:cs="Times New Roman"/>
          <w:i/>
        </w:rPr>
        <w:t xml:space="preserve">                 </w:t>
      </w:r>
      <w:r w:rsidR="003F3EEB">
        <w:rPr>
          <w:rFonts w:ascii="Times New Roman" w:eastAsia="Times New Roman" w:hAnsi="Times New Roman" w:cs="Times New Roman"/>
          <w:i/>
        </w:rPr>
        <w:t xml:space="preserve">Miguel Antonio Gonzales Lara </w:t>
      </w:r>
    </w:p>
    <w:p w14:paraId="231A11D1" w14:textId="63F52E28" w:rsidR="007A2787" w:rsidRDefault="003F3EEB" w:rsidP="007A2787">
      <w:pPr>
        <w:pStyle w:val="Ttulo1"/>
      </w:pPr>
      <w:bookmarkStart w:id="4" w:name="_3znysh7" w:colFirst="0" w:colLast="0"/>
      <w:bookmarkEnd w:id="4"/>
      <w:r>
        <w:br w:type="page"/>
      </w:r>
    </w:p>
    <w:p w14:paraId="5C448F9C" w14:textId="3DDDA1F8" w:rsidR="00657D48" w:rsidRPr="007A2787" w:rsidRDefault="003F3EEB" w:rsidP="007A2787">
      <w:pPr>
        <w:pStyle w:val="Ttulo1"/>
      </w:pPr>
      <w:bookmarkStart w:id="5" w:name="_Toc117518880"/>
      <w:r w:rsidRPr="007A2787">
        <w:lastRenderedPageBreak/>
        <w:t>Declaración Jurada de Autoría</w:t>
      </w:r>
      <w:bookmarkEnd w:id="5"/>
    </w:p>
    <w:p w14:paraId="0F37F65D" w14:textId="77777777" w:rsidR="003D7820" w:rsidRPr="003D7820" w:rsidRDefault="003D7820" w:rsidP="003D7820">
      <w:pPr>
        <w:spacing w:after="200"/>
        <w:jc w:val="both"/>
        <w:rPr>
          <w:rFonts w:ascii="Times New Roman" w:hAnsi="Times New Roman" w:cs="Times New Roman"/>
        </w:rPr>
      </w:pPr>
      <w:r w:rsidRPr="003D7820">
        <w:rPr>
          <w:rFonts w:ascii="Times New Roman" w:hAnsi="Times New Roman" w:cs="Times New Roman"/>
        </w:rPr>
        <w:t>Mediante</w:t>
      </w:r>
      <w:r w:rsidRPr="003D7820">
        <w:rPr>
          <w:rFonts w:ascii="Times New Roman" w:hAnsi="Times New Roman" w:cs="Times New Roman"/>
          <w:spacing w:val="1"/>
        </w:rPr>
        <w:t xml:space="preserve"> </w:t>
      </w:r>
      <w:r w:rsidRPr="003D7820">
        <w:rPr>
          <w:rFonts w:ascii="Times New Roman" w:hAnsi="Times New Roman" w:cs="Times New Roman"/>
        </w:rPr>
        <w:t>el</w:t>
      </w:r>
      <w:r w:rsidRPr="003D7820">
        <w:rPr>
          <w:rFonts w:ascii="Times New Roman" w:hAnsi="Times New Roman" w:cs="Times New Roman"/>
          <w:spacing w:val="1"/>
        </w:rPr>
        <w:t xml:space="preserve"> </w:t>
      </w:r>
      <w:r w:rsidRPr="003D7820">
        <w:rPr>
          <w:rFonts w:ascii="Times New Roman" w:hAnsi="Times New Roman" w:cs="Times New Roman"/>
        </w:rPr>
        <w:t>presente</w:t>
      </w:r>
      <w:r w:rsidRPr="003D7820">
        <w:rPr>
          <w:rFonts w:ascii="Times New Roman" w:hAnsi="Times New Roman" w:cs="Times New Roman"/>
          <w:spacing w:val="1"/>
        </w:rPr>
        <w:t xml:space="preserve"> </w:t>
      </w:r>
      <w:r w:rsidRPr="003D7820">
        <w:rPr>
          <w:rFonts w:ascii="Times New Roman" w:hAnsi="Times New Roman" w:cs="Times New Roman"/>
        </w:rPr>
        <w:t>documento,</w:t>
      </w:r>
      <w:r w:rsidRPr="003D7820">
        <w:rPr>
          <w:rFonts w:ascii="Times New Roman" w:hAnsi="Times New Roman" w:cs="Times New Roman"/>
          <w:spacing w:val="1"/>
        </w:rPr>
        <w:t xml:space="preserve"> </w:t>
      </w:r>
      <w:r w:rsidRPr="003D7820">
        <w:rPr>
          <w:rFonts w:ascii="Times New Roman" w:hAnsi="Times New Roman" w:cs="Times New Roman"/>
        </w:rPr>
        <w:t>yo</w:t>
      </w:r>
      <w:r w:rsidRPr="003D7820">
        <w:rPr>
          <w:rFonts w:ascii="Times New Roman" w:hAnsi="Times New Roman" w:cs="Times New Roman"/>
          <w:spacing w:val="1"/>
        </w:rPr>
        <w:t xml:space="preserve"> </w:t>
      </w:r>
      <w:r w:rsidRPr="003D7820">
        <w:rPr>
          <w:rFonts w:ascii="Times New Roman" w:hAnsi="Times New Roman" w:cs="Times New Roman"/>
        </w:rPr>
        <w:t>Miguel</w:t>
      </w:r>
      <w:r w:rsidRPr="003D7820">
        <w:rPr>
          <w:rFonts w:ascii="Times New Roman" w:hAnsi="Times New Roman" w:cs="Times New Roman"/>
          <w:spacing w:val="1"/>
        </w:rPr>
        <w:t xml:space="preserve"> </w:t>
      </w:r>
      <w:r w:rsidRPr="003D7820">
        <w:rPr>
          <w:rFonts w:ascii="Times New Roman" w:hAnsi="Times New Roman" w:cs="Times New Roman"/>
        </w:rPr>
        <w:t>Antonio</w:t>
      </w:r>
      <w:r w:rsidRPr="003D7820">
        <w:rPr>
          <w:rFonts w:ascii="Times New Roman" w:hAnsi="Times New Roman" w:cs="Times New Roman"/>
          <w:spacing w:val="1"/>
        </w:rPr>
        <w:t xml:space="preserve"> </w:t>
      </w:r>
      <w:r w:rsidRPr="003D7820">
        <w:rPr>
          <w:rFonts w:ascii="Times New Roman" w:hAnsi="Times New Roman" w:cs="Times New Roman"/>
        </w:rPr>
        <w:t>GONZALES</w:t>
      </w:r>
      <w:r w:rsidRPr="003D7820">
        <w:rPr>
          <w:rFonts w:ascii="Times New Roman" w:hAnsi="Times New Roman" w:cs="Times New Roman"/>
          <w:spacing w:val="1"/>
        </w:rPr>
        <w:t xml:space="preserve"> </w:t>
      </w:r>
      <w:r w:rsidRPr="003D7820">
        <w:rPr>
          <w:rFonts w:ascii="Times New Roman" w:hAnsi="Times New Roman" w:cs="Times New Roman"/>
        </w:rPr>
        <w:t>LARA,</w:t>
      </w:r>
      <w:r w:rsidRPr="003D7820">
        <w:rPr>
          <w:rFonts w:ascii="Times New Roman" w:hAnsi="Times New Roman" w:cs="Times New Roman"/>
          <w:spacing w:val="1"/>
        </w:rPr>
        <w:t xml:space="preserve"> </w:t>
      </w:r>
      <w:r w:rsidRPr="003D7820">
        <w:rPr>
          <w:rFonts w:ascii="Times New Roman" w:hAnsi="Times New Roman" w:cs="Times New Roman"/>
        </w:rPr>
        <w:t>identificado</w:t>
      </w:r>
      <w:r w:rsidRPr="003D7820">
        <w:rPr>
          <w:rFonts w:ascii="Times New Roman" w:hAnsi="Times New Roman" w:cs="Times New Roman"/>
          <w:spacing w:val="-7"/>
        </w:rPr>
        <w:t xml:space="preserve"> </w:t>
      </w:r>
      <w:r w:rsidRPr="003D7820">
        <w:rPr>
          <w:rFonts w:ascii="Times New Roman" w:hAnsi="Times New Roman" w:cs="Times New Roman"/>
        </w:rPr>
        <w:t>con</w:t>
      </w:r>
      <w:r w:rsidRPr="003D7820">
        <w:rPr>
          <w:rFonts w:ascii="Times New Roman" w:hAnsi="Times New Roman" w:cs="Times New Roman"/>
          <w:spacing w:val="-2"/>
        </w:rPr>
        <w:t xml:space="preserve"> </w:t>
      </w:r>
      <w:r w:rsidRPr="003D7820">
        <w:rPr>
          <w:rFonts w:ascii="Times New Roman" w:hAnsi="Times New Roman" w:cs="Times New Roman"/>
        </w:rPr>
        <w:t>DNI</w:t>
      </w:r>
      <w:r w:rsidRPr="003D7820">
        <w:rPr>
          <w:rFonts w:ascii="Times New Roman" w:hAnsi="Times New Roman" w:cs="Times New Roman"/>
          <w:spacing w:val="-2"/>
        </w:rPr>
        <w:t xml:space="preserve"> </w:t>
      </w:r>
      <w:r w:rsidRPr="003D7820">
        <w:rPr>
          <w:rFonts w:ascii="Times New Roman" w:hAnsi="Times New Roman" w:cs="Times New Roman"/>
        </w:rPr>
        <w:t>Nº</w:t>
      </w:r>
      <w:r w:rsidRPr="003D7820">
        <w:rPr>
          <w:rFonts w:ascii="Times New Roman" w:hAnsi="Times New Roman" w:cs="Times New Roman"/>
          <w:spacing w:val="-1"/>
        </w:rPr>
        <w:t xml:space="preserve"> </w:t>
      </w:r>
      <w:r w:rsidRPr="003D7820">
        <w:rPr>
          <w:rFonts w:ascii="Times New Roman" w:hAnsi="Times New Roman" w:cs="Times New Roman"/>
        </w:rPr>
        <w:t>09810707</w:t>
      </w:r>
      <w:r w:rsidRPr="003D7820">
        <w:rPr>
          <w:rFonts w:ascii="Times New Roman" w:hAnsi="Times New Roman" w:cs="Times New Roman"/>
          <w:spacing w:val="-2"/>
        </w:rPr>
        <w:t xml:space="preserve"> </w:t>
      </w:r>
      <w:r w:rsidRPr="003D7820">
        <w:rPr>
          <w:rFonts w:ascii="Times New Roman" w:hAnsi="Times New Roman" w:cs="Times New Roman"/>
        </w:rPr>
        <w:t>con</w:t>
      </w:r>
      <w:r w:rsidRPr="003D7820">
        <w:rPr>
          <w:rFonts w:ascii="Times New Roman" w:hAnsi="Times New Roman" w:cs="Times New Roman"/>
          <w:spacing w:val="-2"/>
        </w:rPr>
        <w:t xml:space="preserve"> </w:t>
      </w:r>
      <w:r w:rsidRPr="003D7820">
        <w:rPr>
          <w:rFonts w:ascii="Times New Roman" w:hAnsi="Times New Roman" w:cs="Times New Roman"/>
        </w:rPr>
        <w:t>domicilio</w:t>
      </w:r>
      <w:r w:rsidRPr="003D7820">
        <w:rPr>
          <w:rFonts w:ascii="Times New Roman" w:hAnsi="Times New Roman" w:cs="Times New Roman"/>
          <w:spacing w:val="-2"/>
        </w:rPr>
        <w:t xml:space="preserve"> </w:t>
      </w:r>
      <w:r w:rsidRPr="003D7820">
        <w:rPr>
          <w:rFonts w:ascii="Times New Roman" w:hAnsi="Times New Roman" w:cs="Times New Roman"/>
        </w:rPr>
        <w:t>real</w:t>
      </w:r>
      <w:r w:rsidRPr="003D7820">
        <w:rPr>
          <w:rFonts w:ascii="Times New Roman" w:hAnsi="Times New Roman" w:cs="Times New Roman"/>
          <w:spacing w:val="-5"/>
        </w:rPr>
        <w:t xml:space="preserve"> </w:t>
      </w:r>
      <w:r w:rsidRPr="003D7820">
        <w:rPr>
          <w:rFonts w:ascii="Times New Roman" w:hAnsi="Times New Roman" w:cs="Times New Roman"/>
        </w:rPr>
        <w:t>en</w:t>
      </w:r>
      <w:r w:rsidRPr="003D7820">
        <w:rPr>
          <w:rFonts w:ascii="Times New Roman" w:hAnsi="Times New Roman" w:cs="Times New Roman"/>
          <w:spacing w:val="-2"/>
        </w:rPr>
        <w:t xml:space="preserve"> </w:t>
      </w:r>
      <w:r w:rsidRPr="003D7820">
        <w:rPr>
          <w:rFonts w:ascii="Times New Roman" w:hAnsi="Times New Roman" w:cs="Times New Roman"/>
        </w:rPr>
        <w:t>calle</w:t>
      </w:r>
      <w:r w:rsidRPr="003D7820">
        <w:rPr>
          <w:rFonts w:ascii="Times New Roman" w:hAnsi="Times New Roman" w:cs="Times New Roman"/>
          <w:spacing w:val="-5"/>
        </w:rPr>
        <w:t xml:space="preserve"> </w:t>
      </w:r>
      <w:r w:rsidRPr="003D7820">
        <w:rPr>
          <w:rFonts w:ascii="Times New Roman" w:hAnsi="Times New Roman" w:cs="Times New Roman"/>
        </w:rPr>
        <w:t>Ernesto</w:t>
      </w:r>
      <w:r w:rsidRPr="003D7820">
        <w:rPr>
          <w:rFonts w:ascii="Times New Roman" w:hAnsi="Times New Roman" w:cs="Times New Roman"/>
          <w:spacing w:val="-2"/>
        </w:rPr>
        <w:t xml:space="preserve"> </w:t>
      </w:r>
      <w:r w:rsidRPr="003D7820">
        <w:rPr>
          <w:rFonts w:ascii="Times New Roman" w:hAnsi="Times New Roman" w:cs="Times New Roman"/>
        </w:rPr>
        <w:t>Díaz</w:t>
      </w:r>
      <w:r w:rsidRPr="003D7820">
        <w:rPr>
          <w:rFonts w:ascii="Times New Roman" w:hAnsi="Times New Roman" w:cs="Times New Roman"/>
          <w:spacing w:val="-1"/>
        </w:rPr>
        <w:t xml:space="preserve"> </w:t>
      </w:r>
      <w:r w:rsidRPr="003D7820">
        <w:rPr>
          <w:rFonts w:ascii="Times New Roman" w:hAnsi="Times New Roman" w:cs="Times New Roman"/>
        </w:rPr>
        <w:t>López 175</w:t>
      </w:r>
      <w:r w:rsidRPr="003D7820">
        <w:rPr>
          <w:rFonts w:ascii="Times New Roman" w:hAnsi="Times New Roman" w:cs="Times New Roman"/>
          <w:spacing w:val="1"/>
        </w:rPr>
        <w:t xml:space="preserve"> </w:t>
      </w:r>
      <w:r w:rsidRPr="003D7820">
        <w:rPr>
          <w:rFonts w:ascii="Times New Roman" w:hAnsi="Times New Roman" w:cs="Times New Roman"/>
        </w:rPr>
        <w:t>Urbanización</w:t>
      </w:r>
      <w:r w:rsidRPr="003D7820">
        <w:rPr>
          <w:rFonts w:ascii="Times New Roman" w:hAnsi="Times New Roman" w:cs="Times New Roman"/>
          <w:spacing w:val="1"/>
        </w:rPr>
        <w:t xml:space="preserve"> </w:t>
      </w:r>
      <w:r w:rsidRPr="003D7820">
        <w:rPr>
          <w:rFonts w:ascii="Times New Roman" w:hAnsi="Times New Roman" w:cs="Times New Roman"/>
        </w:rPr>
        <w:t>Santa</w:t>
      </w:r>
      <w:r w:rsidRPr="003D7820">
        <w:rPr>
          <w:rFonts w:ascii="Times New Roman" w:hAnsi="Times New Roman" w:cs="Times New Roman"/>
          <w:spacing w:val="1"/>
        </w:rPr>
        <w:t xml:space="preserve"> </w:t>
      </w:r>
      <w:r w:rsidRPr="003D7820">
        <w:rPr>
          <w:rFonts w:ascii="Times New Roman" w:hAnsi="Times New Roman" w:cs="Times New Roman"/>
        </w:rPr>
        <w:t>Leonor</w:t>
      </w:r>
      <w:r w:rsidRPr="003D7820">
        <w:rPr>
          <w:rFonts w:ascii="Times New Roman" w:hAnsi="Times New Roman" w:cs="Times New Roman"/>
          <w:spacing w:val="1"/>
        </w:rPr>
        <w:t xml:space="preserve"> </w:t>
      </w:r>
      <w:r w:rsidRPr="003D7820">
        <w:rPr>
          <w:rFonts w:ascii="Times New Roman" w:hAnsi="Times New Roman" w:cs="Times New Roman"/>
        </w:rPr>
        <w:t>en</w:t>
      </w:r>
      <w:r w:rsidRPr="003D7820">
        <w:rPr>
          <w:rFonts w:ascii="Times New Roman" w:hAnsi="Times New Roman" w:cs="Times New Roman"/>
          <w:spacing w:val="1"/>
        </w:rPr>
        <w:t xml:space="preserve"> </w:t>
      </w:r>
      <w:r w:rsidRPr="003D7820">
        <w:rPr>
          <w:rFonts w:ascii="Times New Roman" w:hAnsi="Times New Roman" w:cs="Times New Roman"/>
        </w:rPr>
        <w:t>el</w:t>
      </w:r>
      <w:r w:rsidRPr="003D7820">
        <w:rPr>
          <w:rFonts w:ascii="Times New Roman" w:hAnsi="Times New Roman" w:cs="Times New Roman"/>
          <w:spacing w:val="1"/>
        </w:rPr>
        <w:t xml:space="preserve"> </w:t>
      </w:r>
      <w:r w:rsidRPr="003D7820">
        <w:rPr>
          <w:rFonts w:ascii="Times New Roman" w:hAnsi="Times New Roman" w:cs="Times New Roman"/>
        </w:rPr>
        <w:t>distrito</w:t>
      </w:r>
      <w:r w:rsidRPr="003D7820">
        <w:rPr>
          <w:rFonts w:ascii="Times New Roman" w:hAnsi="Times New Roman" w:cs="Times New Roman"/>
          <w:spacing w:val="1"/>
        </w:rPr>
        <w:t xml:space="preserve"> </w:t>
      </w:r>
      <w:r w:rsidRPr="003D7820">
        <w:rPr>
          <w:rFonts w:ascii="Times New Roman" w:hAnsi="Times New Roman" w:cs="Times New Roman"/>
        </w:rPr>
        <w:t>Chorrillos</w:t>
      </w:r>
      <w:r w:rsidRPr="003D7820">
        <w:rPr>
          <w:rFonts w:ascii="Times New Roman" w:hAnsi="Times New Roman" w:cs="Times New Roman"/>
          <w:spacing w:val="1"/>
        </w:rPr>
        <w:t xml:space="preserve"> </w:t>
      </w:r>
      <w:r w:rsidRPr="003D7820">
        <w:rPr>
          <w:rFonts w:ascii="Times New Roman" w:hAnsi="Times New Roman" w:cs="Times New Roman"/>
        </w:rPr>
        <w:t>provincia</w:t>
      </w:r>
      <w:r w:rsidRPr="003D7820">
        <w:rPr>
          <w:rFonts w:ascii="Times New Roman" w:hAnsi="Times New Roman" w:cs="Times New Roman"/>
          <w:spacing w:val="1"/>
        </w:rPr>
        <w:t xml:space="preserve"> </w:t>
      </w:r>
      <w:r w:rsidRPr="003D7820">
        <w:rPr>
          <w:rFonts w:ascii="Times New Roman" w:hAnsi="Times New Roman" w:cs="Times New Roman"/>
        </w:rPr>
        <w:t>de</w:t>
      </w:r>
      <w:r w:rsidRPr="003D7820">
        <w:rPr>
          <w:rFonts w:ascii="Times New Roman" w:hAnsi="Times New Roman" w:cs="Times New Roman"/>
          <w:spacing w:val="1"/>
        </w:rPr>
        <w:t xml:space="preserve"> </w:t>
      </w:r>
      <w:r w:rsidRPr="003D7820">
        <w:rPr>
          <w:rFonts w:ascii="Times New Roman" w:hAnsi="Times New Roman" w:cs="Times New Roman"/>
        </w:rPr>
        <w:t>Lima,</w:t>
      </w:r>
      <w:r w:rsidRPr="003D7820">
        <w:rPr>
          <w:rFonts w:ascii="Times New Roman" w:hAnsi="Times New Roman" w:cs="Times New Roman"/>
          <w:spacing w:val="1"/>
        </w:rPr>
        <w:t xml:space="preserve"> </w:t>
      </w:r>
      <w:r w:rsidRPr="003D7820">
        <w:rPr>
          <w:rFonts w:ascii="Times New Roman" w:hAnsi="Times New Roman" w:cs="Times New Roman"/>
        </w:rPr>
        <w:t>departamento de Lima; participante de la II Maestría en GRD del Centro de Altos</w:t>
      </w:r>
      <w:r w:rsidRPr="003D7820">
        <w:rPr>
          <w:rFonts w:ascii="Times New Roman" w:hAnsi="Times New Roman" w:cs="Times New Roman"/>
          <w:spacing w:val="1"/>
        </w:rPr>
        <w:t xml:space="preserve"> </w:t>
      </w:r>
      <w:r w:rsidRPr="003D7820">
        <w:rPr>
          <w:rFonts w:ascii="Times New Roman" w:hAnsi="Times New Roman" w:cs="Times New Roman"/>
        </w:rPr>
        <w:t>Estudios Nacionales-Escuela de Posgrado (CAEN-EPG), declaro bajo juramento</w:t>
      </w:r>
      <w:r w:rsidRPr="003D7820">
        <w:rPr>
          <w:rFonts w:ascii="Times New Roman" w:hAnsi="Times New Roman" w:cs="Times New Roman"/>
          <w:spacing w:val="1"/>
        </w:rPr>
        <w:t xml:space="preserve"> </w:t>
      </w:r>
      <w:r w:rsidRPr="003D7820">
        <w:rPr>
          <w:rFonts w:ascii="Times New Roman" w:hAnsi="Times New Roman" w:cs="Times New Roman"/>
        </w:rPr>
        <w:t>que:</w:t>
      </w:r>
    </w:p>
    <w:p w14:paraId="579ABDF4" w14:textId="77777777" w:rsidR="003D7820" w:rsidRPr="003D7820" w:rsidRDefault="003D7820" w:rsidP="003D7820">
      <w:pPr>
        <w:spacing w:after="200"/>
        <w:jc w:val="both"/>
        <w:rPr>
          <w:rFonts w:ascii="Times New Roman" w:hAnsi="Times New Roman" w:cs="Times New Roman"/>
        </w:rPr>
      </w:pPr>
      <w:r w:rsidRPr="003D7820">
        <w:rPr>
          <w:rFonts w:ascii="Times New Roman" w:hAnsi="Times New Roman" w:cs="Times New Roman"/>
        </w:rPr>
        <w:t>Soy autor de la investigación titulada “</w:t>
      </w:r>
      <w:r w:rsidRPr="003D7820">
        <w:rPr>
          <w:rFonts w:ascii="Times New Roman" w:hAnsi="Times New Roman" w:cs="Times New Roman"/>
          <w:b/>
        </w:rPr>
        <w:t>La gestión del riesgo de desastres en los</w:t>
      </w:r>
      <w:r w:rsidRPr="003D7820">
        <w:rPr>
          <w:rFonts w:ascii="Times New Roman" w:hAnsi="Times New Roman" w:cs="Times New Roman"/>
          <w:b/>
          <w:spacing w:val="-57"/>
        </w:rPr>
        <w:t xml:space="preserve"> </w:t>
      </w:r>
      <w:r w:rsidRPr="003D7820">
        <w:rPr>
          <w:rFonts w:ascii="Times New Roman" w:hAnsi="Times New Roman" w:cs="Times New Roman"/>
          <w:b/>
        </w:rPr>
        <w:t>procesos de reducción del riesgo, preparación y respuesta y su competencia</w:t>
      </w:r>
      <w:r w:rsidRPr="003D7820">
        <w:rPr>
          <w:rFonts w:ascii="Times New Roman" w:hAnsi="Times New Roman" w:cs="Times New Roman"/>
          <w:b/>
          <w:spacing w:val="1"/>
        </w:rPr>
        <w:t xml:space="preserve"> </w:t>
      </w:r>
      <w:r w:rsidRPr="003D7820">
        <w:rPr>
          <w:rFonts w:ascii="Times New Roman" w:hAnsi="Times New Roman" w:cs="Times New Roman"/>
          <w:b/>
        </w:rPr>
        <w:t>en el sector defensa año 2021”</w:t>
      </w:r>
      <w:r w:rsidRPr="003D7820">
        <w:rPr>
          <w:rFonts w:ascii="Times New Roman" w:hAnsi="Times New Roman" w:cs="Times New Roman"/>
        </w:rPr>
        <w:t>; que presento ante esta institución con fines de</w:t>
      </w:r>
      <w:r w:rsidRPr="003D7820">
        <w:rPr>
          <w:rFonts w:ascii="Times New Roman" w:hAnsi="Times New Roman" w:cs="Times New Roman"/>
          <w:spacing w:val="1"/>
        </w:rPr>
        <w:t xml:space="preserve"> </w:t>
      </w:r>
      <w:r w:rsidRPr="003D7820">
        <w:rPr>
          <w:rFonts w:ascii="Times New Roman" w:hAnsi="Times New Roman" w:cs="Times New Roman"/>
        </w:rPr>
        <w:t>optar</w:t>
      </w:r>
      <w:r w:rsidRPr="003D7820">
        <w:rPr>
          <w:rFonts w:ascii="Times New Roman" w:hAnsi="Times New Roman" w:cs="Times New Roman"/>
          <w:spacing w:val="-1"/>
        </w:rPr>
        <w:t xml:space="preserve"> </w:t>
      </w:r>
      <w:r w:rsidRPr="003D7820">
        <w:rPr>
          <w:rFonts w:ascii="Times New Roman" w:hAnsi="Times New Roman" w:cs="Times New Roman"/>
        </w:rPr>
        <w:t>el</w:t>
      </w:r>
      <w:r w:rsidRPr="003D7820">
        <w:rPr>
          <w:rFonts w:ascii="Times New Roman" w:hAnsi="Times New Roman" w:cs="Times New Roman"/>
          <w:spacing w:val="-1"/>
        </w:rPr>
        <w:t xml:space="preserve"> </w:t>
      </w:r>
      <w:r w:rsidRPr="003D7820">
        <w:rPr>
          <w:rFonts w:ascii="Times New Roman" w:hAnsi="Times New Roman" w:cs="Times New Roman"/>
        </w:rPr>
        <w:t>grado</w:t>
      </w:r>
      <w:r w:rsidRPr="003D7820">
        <w:rPr>
          <w:rFonts w:ascii="Times New Roman" w:hAnsi="Times New Roman" w:cs="Times New Roman"/>
          <w:spacing w:val="-1"/>
        </w:rPr>
        <w:t xml:space="preserve"> </w:t>
      </w:r>
      <w:r w:rsidRPr="003D7820">
        <w:rPr>
          <w:rFonts w:ascii="Times New Roman" w:hAnsi="Times New Roman" w:cs="Times New Roman"/>
        </w:rPr>
        <w:t>académico</w:t>
      </w:r>
      <w:r w:rsidRPr="003D7820">
        <w:rPr>
          <w:rFonts w:ascii="Times New Roman" w:hAnsi="Times New Roman" w:cs="Times New Roman"/>
          <w:spacing w:val="-1"/>
        </w:rPr>
        <w:t xml:space="preserve"> </w:t>
      </w:r>
      <w:r w:rsidRPr="003D7820">
        <w:rPr>
          <w:rFonts w:ascii="Times New Roman" w:hAnsi="Times New Roman" w:cs="Times New Roman"/>
        </w:rPr>
        <w:t>de Maestro</w:t>
      </w:r>
      <w:r w:rsidRPr="003D7820">
        <w:rPr>
          <w:rFonts w:ascii="Times New Roman" w:hAnsi="Times New Roman" w:cs="Times New Roman"/>
          <w:spacing w:val="-1"/>
        </w:rPr>
        <w:t xml:space="preserve"> </w:t>
      </w:r>
      <w:r w:rsidRPr="003D7820">
        <w:rPr>
          <w:rFonts w:ascii="Times New Roman" w:hAnsi="Times New Roman" w:cs="Times New Roman"/>
        </w:rPr>
        <w:t>en</w:t>
      </w:r>
      <w:r w:rsidRPr="003D7820">
        <w:rPr>
          <w:rFonts w:ascii="Times New Roman" w:hAnsi="Times New Roman" w:cs="Times New Roman"/>
          <w:spacing w:val="-1"/>
        </w:rPr>
        <w:t xml:space="preserve"> </w:t>
      </w:r>
      <w:r w:rsidRPr="003D7820">
        <w:rPr>
          <w:rFonts w:ascii="Times New Roman" w:hAnsi="Times New Roman" w:cs="Times New Roman"/>
        </w:rPr>
        <w:t>Gestión</w:t>
      </w:r>
      <w:r w:rsidRPr="003D7820">
        <w:rPr>
          <w:rFonts w:ascii="Times New Roman" w:hAnsi="Times New Roman" w:cs="Times New Roman"/>
          <w:spacing w:val="-1"/>
        </w:rPr>
        <w:t xml:space="preserve"> </w:t>
      </w:r>
      <w:r w:rsidRPr="003D7820">
        <w:rPr>
          <w:rFonts w:ascii="Times New Roman" w:hAnsi="Times New Roman" w:cs="Times New Roman"/>
        </w:rPr>
        <w:t>del</w:t>
      </w:r>
      <w:r w:rsidRPr="003D7820">
        <w:rPr>
          <w:rFonts w:ascii="Times New Roman" w:hAnsi="Times New Roman" w:cs="Times New Roman"/>
          <w:spacing w:val="-1"/>
        </w:rPr>
        <w:t xml:space="preserve"> </w:t>
      </w:r>
      <w:r w:rsidRPr="003D7820">
        <w:rPr>
          <w:rFonts w:ascii="Times New Roman" w:hAnsi="Times New Roman" w:cs="Times New Roman"/>
        </w:rPr>
        <w:t>Riesgo de Desastres.</w:t>
      </w:r>
    </w:p>
    <w:p w14:paraId="1BC9E7E1" w14:textId="371C66A6" w:rsidR="003D7820" w:rsidRPr="003D7820" w:rsidRDefault="003D7820" w:rsidP="003D7820">
      <w:pPr>
        <w:spacing w:after="200"/>
        <w:jc w:val="both"/>
        <w:rPr>
          <w:rFonts w:ascii="Times New Roman" w:hAnsi="Times New Roman" w:cs="Times New Roman"/>
        </w:rPr>
      </w:pPr>
      <w:r w:rsidRPr="003D7820">
        <w:rPr>
          <w:rFonts w:ascii="Times New Roman" w:hAnsi="Times New Roman" w:cs="Times New Roman"/>
        </w:rPr>
        <w:t>Es</w:t>
      </w:r>
      <w:r w:rsidRPr="003D7820">
        <w:rPr>
          <w:rFonts w:ascii="Times New Roman" w:hAnsi="Times New Roman" w:cs="Times New Roman"/>
          <w:spacing w:val="1"/>
        </w:rPr>
        <w:t xml:space="preserve"> </w:t>
      </w:r>
      <w:r w:rsidRPr="003D7820">
        <w:rPr>
          <w:rFonts w:ascii="Times New Roman" w:hAnsi="Times New Roman" w:cs="Times New Roman"/>
        </w:rPr>
        <w:t>menester</w:t>
      </w:r>
      <w:r w:rsidRPr="003D7820">
        <w:rPr>
          <w:rFonts w:ascii="Times New Roman" w:hAnsi="Times New Roman" w:cs="Times New Roman"/>
          <w:spacing w:val="1"/>
        </w:rPr>
        <w:t xml:space="preserve"> </w:t>
      </w:r>
      <w:r w:rsidRPr="003D7820">
        <w:rPr>
          <w:rFonts w:ascii="Times New Roman" w:hAnsi="Times New Roman" w:cs="Times New Roman"/>
        </w:rPr>
        <w:t>señalar</w:t>
      </w:r>
      <w:r w:rsidRPr="003D7820">
        <w:rPr>
          <w:rFonts w:ascii="Times New Roman" w:hAnsi="Times New Roman" w:cs="Times New Roman"/>
          <w:spacing w:val="1"/>
        </w:rPr>
        <w:t xml:space="preserve"> </w:t>
      </w:r>
      <w:r w:rsidRPr="003D7820">
        <w:rPr>
          <w:rFonts w:ascii="Times New Roman" w:hAnsi="Times New Roman" w:cs="Times New Roman"/>
        </w:rPr>
        <w:t>que</w:t>
      </w:r>
      <w:r w:rsidRPr="003D7820">
        <w:rPr>
          <w:rFonts w:ascii="Times New Roman" w:hAnsi="Times New Roman" w:cs="Times New Roman"/>
          <w:spacing w:val="1"/>
        </w:rPr>
        <w:t xml:space="preserve"> </w:t>
      </w:r>
      <w:r w:rsidRPr="003D7820">
        <w:rPr>
          <w:rFonts w:ascii="Times New Roman" w:hAnsi="Times New Roman" w:cs="Times New Roman"/>
        </w:rPr>
        <w:t>la</w:t>
      </w:r>
      <w:r w:rsidRPr="003D7820">
        <w:rPr>
          <w:rFonts w:ascii="Times New Roman" w:hAnsi="Times New Roman" w:cs="Times New Roman"/>
          <w:spacing w:val="1"/>
        </w:rPr>
        <w:t xml:space="preserve"> </w:t>
      </w:r>
      <w:r w:rsidRPr="003D7820">
        <w:rPr>
          <w:rFonts w:ascii="Times New Roman" w:hAnsi="Times New Roman" w:cs="Times New Roman"/>
        </w:rPr>
        <w:t>presente</w:t>
      </w:r>
      <w:r w:rsidRPr="003D7820">
        <w:rPr>
          <w:rFonts w:ascii="Times New Roman" w:hAnsi="Times New Roman" w:cs="Times New Roman"/>
          <w:spacing w:val="1"/>
        </w:rPr>
        <w:t xml:space="preserve"> </w:t>
      </w:r>
      <w:r w:rsidRPr="003D7820">
        <w:rPr>
          <w:rFonts w:ascii="Times New Roman" w:hAnsi="Times New Roman" w:cs="Times New Roman"/>
        </w:rPr>
        <w:t>investigación</w:t>
      </w:r>
      <w:r w:rsidRPr="003D7820">
        <w:rPr>
          <w:rFonts w:ascii="Times New Roman" w:hAnsi="Times New Roman" w:cs="Times New Roman"/>
          <w:spacing w:val="1"/>
        </w:rPr>
        <w:t xml:space="preserve"> </w:t>
      </w:r>
      <w:r w:rsidRPr="003D7820">
        <w:rPr>
          <w:rFonts w:ascii="Times New Roman" w:hAnsi="Times New Roman" w:cs="Times New Roman"/>
        </w:rPr>
        <w:t>no</w:t>
      </w:r>
      <w:r w:rsidRPr="003D7820">
        <w:rPr>
          <w:rFonts w:ascii="Times New Roman" w:hAnsi="Times New Roman" w:cs="Times New Roman"/>
          <w:spacing w:val="1"/>
        </w:rPr>
        <w:t xml:space="preserve"> </w:t>
      </w:r>
      <w:r w:rsidRPr="003D7820">
        <w:rPr>
          <w:rFonts w:ascii="Times New Roman" w:hAnsi="Times New Roman" w:cs="Times New Roman"/>
        </w:rPr>
        <w:t>ha</w:t>
      </w:r>
      <w:r w:rsidRPr="003D7820">
        <w:rPr>
          <w:rFonts w:ascii="Times New Roman" w:hAnsi="Times New Roman" w:cs="Times New Roman"/>
          <w:spacing w:val="1"/>
        </w:rPr>
        <w:t xml:space="preserve"> </w:t>
      </w:r>
      <w:r w:rsidRPr="003D7820">
        <w:rPr>
          <w:rFonts w:ascii="Times New Roman" w:hAnsi="Times New Roman" w:cs="Times New Roman"/>
        </w:rPr>
        <w:t>sido</w:t>
      </w:r>
      <w:r w:rsidRPr="003D7820">
        <w:rPr>
          <w:rFonts w:ascii="Times New Roman" w:hAnsi="Times New Roman" w:cs="Times New Roman"/>
          <w:spacing w:val="1"/>
        </w:rPr>
        <w:t xml:space="preserve"> </w:t>
      </w:r>
      <w:r w:rsidRPr="003D7820">
        <w:rPr>
          <w:rFonts w:ascii="Times New Roman" w:hAnsi="Times New Roman" w:cs="Times New Roman"/>
        </w:rPr>
        <w:t>presentada</w:t>
      </w:r>
      <w:r w:rsidRPr="003D7820">
        <w:rPr>
          <w:rFonts w:ascii="Times New Roman" w:hAnsi="Times New Roman" w:cs="Times New Roman"/>
          <w:spacing w:val="1"/>
        </w:rPr>
        <w:t xml:space="preserve"> </w:t>
      </w:r>
      <w:r w:rsidRPr="003D7820">
        <w:rPr>
          <w:rFonts w:ascii="Times New Roman" w:hAnsi="Times New Roman" w:cs="Times New Roman"/>
        </w:rPr>
        <w:t>ni</w:t>
      </w:r>
      <w:r w:rsidRPr="003D7820">
        <w:rPr>
          <w:rFonts w:ascii="Times New Roman" w:hAnsi="Times New Roman" w:cs="Times New Roman"/>
          <w:spacing w:val="1"/>
        </w:rPr>
        <w:t xml:space="preserve"> </w:t>
      </w:r>
      <w:r w:rsidRPr="003D7820">
        <w:rPr>
          <w:rFonts w:ascii="Times New Roman" w:hAnsi="Times New Roman" w:cs="Times New Roman"/>
        </w:rPr>
        <w:t>publicada en anteriores oportunidades. Es así que declaro que todo el contenido</w:t>
      </w:r>
      <w:r w:rsidRPr="003D7820">
        <w:rPr>
          <w:rFonts w:ascii="Times New Roman" w:hAnsi="Times New Roman" w:cs="Times New Roman"/>
          <w:spacing w:val="1"/>
        </w:rPr>
        <w:t xml:space="preserve"> </w:t>
      </w:r>
      <w:r w:rsidRPr="003D7820">
        <w:rPr>
          <w:rFonts w:ascii="Times New Roman" w:hAnsi="Times New Roman" w:cs="Times New Roman"/>
          <w:spacing w:val="-1"/>
        </w:rPr>
        <w:t>tomado</w:t>
      </w:r>
      <w:r w:rsidRPr="003D7820">
        <w:rPr>
          <w:rFonts w:ascii="Times New Roman" w:hAnsi="Times New Roman" w:cs="Times New Roman"/>
          <w:spacing w:val="-12"/>
        </w:rPr>
        <w:t xml:space="preserve"> </w:t>
      </w:r>
      <w:r w:rsidRPr="003D7820">
        <w:rPr>
          <w:rFonts w:ascii="Times New Roman" w:hAnsi="Times New Roman" w:cs="Times New Roman"/>
          <w:spacing w:val="-1"/>
        </w:rPr>
        <w:t>de</w:t>
      </w:r>
      <w:r w:rsidRPr="003D7820">
        <w:rPr>
          <w:rFonts w:ascii="Times New Roman" w:hAnsi="Times New Roman" w:cs="Times New Roman"/>
          <w:spacing w:val="-10"/>
        </w:rPr>
        <w:t xml:space="preserve"> </w:t>
      </w:r>
      <w:r w:rsidRPr="003D7820">
        <w:rPr>
          <w:rFonts w:ascii="Times New Roman" w:hAnsi="Times New Roman" w:cs="Times New Roman"/>
          <w:spacing w:val="-1"/>
        </w:rPr>
        <w:t>otros</w:t>
      </w:r>
      <w:r w:rsidRPr="003D7820">
        <w:rPr>
          <w:rFonts w:ascii="Times New Roman" w:hAnsi="Times New Roman" w:cs="Times New Roman"/>
          <w:spacing w:val="-13"/>
        </w:rPr>
        <w:t xml:space="preserve"> </w:t>
      </w:r>
      <w:r w:rsidRPr="003D7820">
        <w:rPr>
          <w:rFonts w:ascii="Times New Roman" w:hAnsi="Times New Roman" w:cs="Times New Roman"/>
          <w:spacing w:val="-1"/>
        </w:rPr>
        <w:t>documentos</w:t>
      </w:r>
      <w:r w:rsidRPr="003D7820">
        <w:rPr>
          <w:rFonts w:ascii="Times New Roman" w:hAnsi="Times New Roman" w:cs="Times New Roman"/>
          <w:spacing w:val="-13"/>
        </w:rPr>
        <w:t xml:space="preserve"> </w:t>
      </w:r>
      <w:r w:rsidRPr="003D7820">
        <w:rPr>
          <w:rFonts w:ascii="Times New Roman" w:hAnsi="Times New Roman" w:cs="Times New Roman"/>
          <w:spacing w:val="-1"/>
        </w:rPr>
        <w:t>ha</w:t>
      </w:r>
      <w:r w:rsidRPr="003D7820">
        <w:rPr>
          <w:rFonts w:ascii="Times New Roman" w:hAnsi="Times New Roman" w:cs="Times New Roman"/>
          <w:spacing w:val="-10"/>
        </w:rPr>
        <w:t xml:space="preserve"> </w:t>
      </w:r>
      <w:r w:rsidRPr="003D7820">
        <w:rPr>
          <w:rFonts w:ascii="Times New Roman" w:hAnsi="Times New Roman" w:cs="Times New Roman"/>
          <w:spacing w:val="-1"/>
        </w:rPr>
        <w:t>sido</w:t>
      </w:r>
      <w:r w:rsidRPr="003D7820">
        <w:rPr>
          <w:rFonts w:ascii="Times New Roman" w:hAnsi="Times New Roman" w:cs="Times New Roman"/>
          <w:spacing w:val="-11"/>
        </w:rPr>
        <w:t xml:space="preserve"> </w:t>
      </w:r>
      <w:r w:rsidRPr="003D7820">
        <w:rPr>
          <w:rFonts w:ascii="Times New Roman" w:hAnsi="Times New Roman" w:cs="Times New Roman"/>
          <w:spacing w:val="-1"/>
        </w:rPr>
        <w:t>debidamente</w:t>
      </w:r>
      <w:r w:rsidRPr="003D7820">
        <w:rPr>
          <w:rFonts w:ascii="Times New Roman" w:hAnsi="Times New Roman" w:cs="Times New Roman"/>
          <w:spacing w:val="-11"/>
        </w:rPr>
        <w:t xml:space="preserve"> </w:t>
      </w:r>
      <w:r w:rsidRPr="003D7820">
        <w:rPr>
          <w:rFonts w:ascii="Times New Roman" w:hAnsi="Times New Roman" w:cs="Times New Roman"/>
        </w:rPr>
        <w:t>referenciado</w:t>
      </w:r>
      <w:r w:rsidRPr="003D7820">
        <w:rPr>
          <w:rFonts w:ascii="Times New Roman" w:hAnsi="Times New Roman" w:cs="Times New Roman"/>
          <w:spacing w:val="-16"/>
        </w:rPr>
        <w:t xml:space="preserve"> </w:t>
      </w:r>
      <w:r w:rsidRPr="003D7820">
        <w:rPr>
          <w:rFonts w:ascii="Times New Roman" w:hAnsi="Times New Roman" w:cs="Times New Roman"/>
        </w:rPr>
        <w:t>y</w:t>
      </w:r>
      <w:r w:rsidRPr="003D7820">
        <w:rPr>
          <w:rFonts w:ascii="Times New Roman" w:hAnsi="Times New Roman" w:cs="Times New Roman"/>
          <w:spacing w:val="-11"/>
        </w:rPr>
        <w:t xml:space="preserve"> </w:t>
      </w:r>
      <w:r w:rsidRPr="003D7820">
        <w:rPr>
          <w:rFonts w:ascii="Times New Roman" w:hAnsi="Times New Roman" w:cs="Times New Roman"/>
        </w:rPr>
        <w:t>citados</w:t>
      </w:r>
      <w:r w:rsidRPr="003D7820">
        <w:rPr>
          <w:rFonts w:ascii="Times New Roman" w:hAnsi="Times New Roman" w:cs="Times New Roman"/>
          <w:spacing w:val="-13"/>
        </w:rPr>
        <w:t xml:space="preserve"> </w:t>
      </w:r>
      <w:r w:rsidRPr="003D7820">
        <w:rPr>
          <w:rFonts w:ascii="Times New Roman" w:hAnsi="Times New Roman" w:cs="Times New Roman"/>
        </w:rPr>
        <w:t>de</w:t>
      </w:r>
      <w:r w:rsidRPr="003D7820">
        <w:rPr>
          <w:rFonts w:ascii="Times New Roman" w:hAnsi="Times New Roman" w:cs="Times New Roman"/>
          <w:spacing w:val="-10"/>
        </w:rPr>
        <w:t xml:space="preserve"> </w:t>
      </w:r>
      <w:r w:rsidRPr="003D7820">
        <w:rPr>
          <w:rFonts w:ascii="Times New Roman" w:hAnsi="Times New Roman" w:cs="Times New Roman"/>
        </w:rPr>
        <w:t>acuerdo</w:t>
      </w:r>
      <w:r w:rsidRPr="003D7820">
        <w:rPr>
          <w:rFonts w:ascii="Times New Roman" w:hAnsi="Times New Roman" w:cs="Times New Roman"/>
          <w:spacing w:val="-58"/>
        </w:rPr>
        <w:t xml:space="preserve"> </w:t>
      </w:r>
      <w:r w:rsidRPr="003D7820">
        <w:rPr>
          <w:rFonts w:ascii="Times New Roman" w:hAnsi="Times New Roman" w:cs="Times New Roman"/>
        </w:rPr>
        <w:t>a las normas APA, respetando la propiedad intelectual de los autores. Así mismo,</w:t>
      </w:r>
      <w:r w:rsidRPr="003D7820">
        <w:rPr>
          <w:rFonts w:ascii="Times New Roman" w:hAnsi="Times New Roman" w:cs="Times New Roman"/>
          <w:spacing w:val="1"/>
        </w:rPr>
        <w:t xml:space="preserve"> </w:t>
      </w:r>
      <w:r w:rsidRPr="003D7820">
        <w:rPr>
          <w:rFonts w:ascii="Times New Roman" w:hAnsi="Times New Roman" w:cs="Times New Roman"/>
        </w:rPr>
        <w:t>declaro tener</w:t>
      </w:r>
      <w:r w:rsidRPr="003D7820">
        <w:rPr>
          <w:rFonts w:ascii="Times New Roman" w:hAnsi="Times New Roman" w:cs="Times New Roman"/>
          <w:spacing w:val="1"/>
        </w:rPr>
        <w:t xml:space="preserve"> </w:t>
      </w:r>
      <w:r w:rsidRPr="003D7820">
        <w:rPr>
          <w:rFonts w:ascii="Times New Roman" w:hAnsi="Times New Roman" w:cs="Times New Roman"/>
        </w:rPr>
        <w:t>conocimiento y me someto al marco legal y normativo vigente</w:t>
      </w:r>
      <w:r w:rsidRPr="003D7820">
        <w:rPr>
          <w:rFonts w:ascii="Times New Roman" w:hAnsi="Times New Roman" w:cs="Times New Roman"/>
          <w:spacing w:val="1"/>
        </w:rPr>
        <w:t xml:space="preserve"> </w:t>
      </w:r>
      <w:r w:rsidRPr="003D7820">
        <w:rPr>
          <w:rFonts w:ascii="Times New Roman" w:hAnsi="Times New Roman" w:cs="Times New Roman"/>
        </w:rPr>
        <w:t>relacionado</w:t>
      </w:r>
      <w:r w:rsidRPr="003D7820">
        <w:rPr>
          <w:rFonts w:ascii="Times New Roman" w:hAnsi="Times New Roman" w:cs="Times New Roman"/>
          <w:spacing w:val="1"/>
        </w:rPr>
        <w:t xml:space="preserve"> </w:t>
      </w:r>
      <w:r w:rsidRPr="003D7820">
        <w:rPr>
          <w:rFonts w:ascii="Times New Roman" w:hAnsi="Times New Roman" w:cs="Times New Roman"/>
        </w:rPr>
        <w:t>a</w:t>
      </w:r>
      <w:r w:rsidRPr="003D7820">
        <w:rPr>
          <w:rFonts w:ascii="Times New Roman" w:hAnsi="Times New Roman" w:cs="Times New Roman"/>
          <w:spacing w:val="1"/>
        </w:rPr>
        <w:t xml:space="preserve"> </w:t>
      </w:r>
      <w:r w:rsidRPr="003D7820">
        <w:rPr>
          <w:rFonts w:ascii="Times New Roman" w:hAnsi="Times New Roman" w:cs="Times New Roman"/>
        </w:rPr>
        <w:t>dicha</w:t>
      </w:r>
      <w:r w:rsidRPr="003D7820">
        <w:rPr>
          <w:rFonts w:ascii="Times New Roman" w:hAnsi="Times New Roman" w:cs="Times New Roman"/>
          <w:spacing w:val="1"/>
        </w:rPr>
        <w:t xml:space="preserve"> </w:t>
      </w:r>
      <w:r w:rsidRPr="003D7820">
        <w:rPr>
          <w:rFonts w:ascii="Times New Roman" w:hAnsi="Times New Roman" w:cs="Times New Roman"/>
        </w:rPr>
        <w:t>responsabilidad.</w:t>
      </w:r>
      <w:r w:rsidRPr="003D7820">
        <w:rPr>
          <w:rFonts w:ascii="Times New Roman" w:hAnsi="Times New Roman" w:cs="Times New Roman"/>
          <w:spacing w:val="1"/>
        </w:rPr>
        <w:t xml:space="preserve"> </w:t>
      </w:r>
      <w:r w:rsidRPr="003D7820">
        <w:rPr>
          <w:rFonts w:ascii="Times New Roman" w:hAnsi="Times New Roman" w:cs="Times New Roman"/>
        </w:rPr>
        <w:t>También,</w:t>
      </w:r>
      <w:r w:rsidRPr="003D7820">
        <w:rPr>
          <w:rFonts w:ascii="Times New Roman" w:hAnsi="Times New Roman" w:cs="Times New Roman"/>
          <w:spacing w:val="1"/>
        </w:rPr>
        <w:t xml:space="preserve"> </w:t>
      </w:r>
      <w:r w:rsidRPr="003D7820">
        <w:rPr>
          <w:rFonts w:ascii="Times New Roman" w:hAnsi="Times New Roman" w:cs="Times New Roman"/>
        </w:rPr>
        <w:t>declaró</w:t>
      </w:r>
      <w:r w:rsidRPr="003D7820">
        <w:rPr>
          <w:rFonts w:ascii="Times New Roman" w:hAnsi="Times New Roman" w:cs="Times New Roman"/>
          <w:spacing w:val="1"/>
        </w:rPr>
        <w:t xml:space="preserve"> </w:t>
      </w:r>
      <w:r w:rsidRPr="003D7820">
        <w:rPr>
          <w:rFonts w:ascii="Times New Roman" w:hAnsi="Times New Roman" w:cs="Times New Roman"/>
        </w:rPr>
        <w:t>bajo</w:t>
      </w:r>
      <w:r w:rsidRPr="003D7820">
        <w:rPr>
          <w:rFonts w:ascii="Times New Roman" w:hAnsi="Times New Roman" w:cs="Times New Roman"/>
          <w:spacing w:val="1"/>
        </w:rPr>
        <w:t xml:space="preserve"> </w:t>
      </w:r>
      <w:r w:rsidRPr="003D7820">
        <w:rPr>
          <w:rFonts w:ascii="Times New Roman" w:hAnsi="Times New Roman" w:cs="Times New Roman"/>
        </w:rPr>
        <w:t>juramento</w:t>
      </w:r>
      <w:r w:rsidRPr="003D7820">
        <w:rPr>
          <w:rFonts w:ascii="Times New Roman" w:hAnsi="Times New Roman" w:cs="Times New Roman"/>
          <w:spacing w:val="1"/>
        </w:rPr>
        <w:t xml:space="preserve"> </w:t>
      </w:r>
      <w:r w:rsidRPr="003D7820">
        <w:rPr>
          <w:rFonts w:ascii="Times New Roman" w:hAnsi="Times New Roman" w:cs="Times New Roman"/>
        </w:rPr>
        <w:t>que</w:t>
      </w:r>
      <w:r w:rsidRPr="003D7820">
        <w:rPr>
          <w:rFonts w:ascii="Times New Roman" w:hAnsi="Times New Roman" w:cs="Times New Roman"/>
          <w:spacing w:val="1"/>
        </w:rPr>
        <w:t xml:space="preserve"> </w:t>
      </w:r>
      <w:r w:rsidRPr="003D7820">
        <w:rPr>
          <w:rFonts w:ascii="Times New Roman" w:hAnsi="Times New Roman" w:cs="Times New Roman"/>
        </w:rPr>
        <w:t>la</w:t>
      </w:r>
      <w:r w:rsidRPr="003D7820">
        <w:rPr>
          <w:rFonts w:ascii="Times New Roman" w:hAnsi="Times New Roman" w:cs="Times New Roman"/>
          <w:spacing w:val="-57"/>
        </w:rPr>
        <w:t xml:space="preserve"> </w:t>
      </w:r>
      <w:r w:rsidRPr="003D7820">
        <w:rPr>
          <w:rFonts w:ascii="Times New Roman" w:hAnsi="Times New Roman" w:cs="Times New Roman"/>
        </w:rPr>
        <w:t>información que contiene la tesis es real y pertenecen a la realidad expuesta, con</w:t>
      </w:r>
      <w:r w:rsidRPr="003D7820">
        <w:rPr>
          <w:rFonts w:ascii="Times New Roman" w:hAnsi="Times New Roman" w:cs="Times New Roman"/>
          <w:spacing w:val="1"/>
        </w:rPr>
        <w:t xml:space="preserve"> </w:t>
      </w:r>
      <w:r w:rsidRPr="003D7820">
        <w:rPr>
          <w:rFonts w:ascii="Times New Roman" w:hAnsi="Times New Roman" w:cs="Times New Roman"/>
        </w:rPr>
        <w:t>ello se quiere decir que no hay fraude o adulteración. Que no he cometido fraude</w:t>
      </w:r>
      <w:r w:rsidRPr="003D7820">
        <w:rPr>
          <w:rFonts w:ascii="Times New Roman" w:hAnsi="Times New Roman" w:cs="Times New Roman"/>
          <w:spacing w:val="1"/>
        </w:rPr>
        <w:t xml:space="preserve"> </w:t>
      </w:r>
      <w:r w:rsidRPr="003D7820">
        <w:rPr>
          <w:rFonts w:ascii="Times New Roman" w:hAnsi="Times New Roman" w:cs="Times New Roman"/>
          <w:spacing w:val="-1"/>
        </w:rPr>
        <w:t>científico,</w:t>
      </w:r>
      <w:r w:rsidRPr="003D7820">
        <w:rPr>
          <w:rFonts w:ascii="Times New Roman" w:hAnsi="Times New Roman" w:cs="Times New Roman"/>
          <w:spacing w:val="-17"/>
        </w:rPr>
        <w:t xml:space="preserve"> </w:t>
      </w:r>
      <w:r w:rsidRPr="003D7820">
        <w:rPr>
          <w:rFonts w:ascii="Times New Roman" w:hAnsi="Times New Roman" w:cs="Times New Roman"/>
          <w:spacing w:val="-1"/>
        </w:rPr>
        <w:t>plagio</w:t>
      </w:r>
      <w:r w:rsidRPr="003D7820">
        <w:rPr>
          <w:rFonts w:ascii="Times New Roman" w:hAnsi="Times New Roman" w:cs="Times New Roman"/>
          <w:spacing w:val="-12"/>
        </w:rPr>
        <w:t xml:space="preserve"> </w:t>
      </w:r>
      <w:r w:rsidRPr="003D7820">
        <w:rPr>
          <w:rFonts w:ascii="Times New Roman" w:hAnsi="Times New Roman" w:cs="Times New Roman"/>
          <w:spacing w:val="-1"/>
        </w:rPr>
        <w:t>vicios</w:t>
      </w:r>
      <w:r w:rsidRPr="003D7820">
        <w:rPr>
          <w:rFonts w:ascii="Times New Roman" w:hAnsi="Times New Roman" w:cs="Times New Roman"/>
          <w:spacing w:val="-14"/>
        </w:rPr>
        <w:t xml:space="preserve"> </w:t>
      </w:r>
      <w:r w:rsidRPr="003D7820">
        <w:rPr>
          <w:rFonts w:ascii="Times New Roman" w:hAnsi="Times New Roman" w:cs="Times New Roman"/>
          <w:spacing w:val="-1"/>
        </w:rPr>
        <w:t>de</w:t>
      </w:r>
      <w:r w:rsidRPr="003D7820">
        <w:rPr>
          <w:rFonts w:ascii="Times New Roman" w:hAnsi="Times New Roman" w:cs="Times New Roman"/>
          <w:spacing w:val="-11"/>
        </w:rPr>
        <w:t xml:space="preserve"> </w:t>
      </w:r>
      <w:r w:rsidRPr="003D7820">
        <w:rPr>
          <w:rFonts w:ascii="Times New Roman" w:hAnsi="Times New Roman" w:cs="Times New Roman"/>
          <w:spacing w:val="-1"/>
        </w:rPr>
        <w:t>autoría;</w:t>
      </w:r>
      <w:r w:rsidRPr="003D7820">
        <w:rPr>
          <w:rFonts w:ascii="Times New Roman" w:hAnsi="Times New Roman" w:cs="Times New Roman"/>
          <w:spacing w:val="-12"/>
        </w:rPr>
        <w:t xml:space="preserve"> </w:t>
      </w:r>
      <w:r w:rsidRPr="003D7820">
        <w:rPr>
          <w:rFonts w:ascii="Times New Roman" w:hAnsi="Times New Roman" w:cs="Times New Roman"/>
        </w:rPr>
        <w:t>en</w:t>
      </w:r>
      <w:r w:rsidRPr="003D7820">
        <w:rPr>
          <w:rFonts w:ascii="Times New Roman" w:hAnsi="Times New Roman" w:cs="Times New Roman"/>
          <w:spacing w:val="-17"/>
        </w:rPr>
        <w:t xml:space="preserve"> </w:t>
      </w:r>
      <w:r w:rsidRPr="003D7820">
        <w:rPr>
          <w:rFonts w:ascii="Times New Roman" w:hAnsi="Times New Roman" w:cs="Times New Roman"/>
        </w:rPr>
        <w:t>caso</w:t>
      </w:r>
      <w:r w:rsidRPr="003D7820">
        <w:rPr>
          <w:rFonts w:ascii="Times New Roman" w:hAnsi="Times New Roman" w:cs="Times New Roman"/>
          <w:spacing w:val="-17"/>
        </w:rPr>
        <w:t xml:space="preserve"> </w:t>
      </w:r>
      <w:r w:rsidRPr="003D7820">
        <w:rPr>
          <w:rFonts w:ascii="Times New Roman" w:hAnsi="Times New Roman" w:cs="Times New Roman"/>
        </w:rPr>
        <w:t>contrario,</w:t>
      </w:r>
      <w:r w:rsidRPr="003D7820">
        <w:rPr>
          <w:rFonts w:ascii="Times New Roman" w:hAnsi="Times New Roman" w:cs="Times New Roman"/>
          <w:spacing w:val="-17"/>
        </w:rPr>
        <w:t xml:space="preserve"> </w:t>
      </w:r>
      <w:r w:rsidRPr="003D7820">
        <w:rPr>
          <w:rFonts w:ascii="Times New Roman" w:hAnsi="Times New Roman" w:cs="Times New Roman"/>
        </w:rPr>
        <w:t>eximo</w:t>
      </w:r>
      <w:r w:rsidRPr="003D7820">
        <w:rPr>
          <w:rFonts w:ascii="Times New Roman" w:hAnsi="Times New Roman" w:cs="Times New Roman"/>
          <w:spacing w:val="-12"/>
        </w:rPr>
        <w:t xml:space="preserve"> </w:t>
      </w:r>
      <w:r w:rsidRPr="003D7820">
        <w:rPr>
          <w:rFonts w:ascii="Times New Roman" w:hAnsi="Times New Roman" w:cs="Times New Roman"/>
        </w:rPr>
        <w:t>de</w:t>
      </w:r>
      <w:r w:rsidRPr="003D7820">
        <w:rPr>
          <w:rFonts w:ascii="Times New Roman" w:hAnsi="Times New Roman" w:cs="Times New Roman"/>
          <w:spacing w:val="-11"/>
        </w:rPr>
        <w:t xml:space="preserve"> </w:t>
      </w:r>
      <w:r w:rsidRPr="003D7820">
        <w:rPr>
          <w:rFonts w:ascii="Times New Roman" w:hAnsi="Times New Roman" w:cs="Times New Roman"/>
        </w:rPr>
        <w:t>toda</w:t>
      </w:r>
      <w:r w:rsidRPr="003D7820">
        <w:rPr>
          <w:rFonts w:ascii="Times New Roman" w:hAnsi="Times New Roman" w:cs="Times New Roman"/>
          <w:spacing w:val="-11"/>
        </w:rPr>
        <w:t xml:space="preserve"> </w:t>
      </w:r>
      <w:r w:rsidRPr="003D7820">
        <w:rPr>
          <w:rFonts w:ascii="Times New Roman" w:hAnsi="Times New Roman" w:cs="Times New Roman"/>
        </w:rPr>
        <w:t>responsabilidad</w:t>
      </w:r>
      <w:r w:rsidRPr="003D7820">
        <w:rPr>
          <w:rFonts w:ascii="Times New Roman" w:hAnsi="Times New Roman" w:cs="Times New Roman"/>
          <w:spacing w:val="-57"/>
        </w:rPr>
        <w:t xml:space="preserve"> </w:t>
      </w:r>
      <w:r w:rsidRPr="003D7820">
        <w:rPr>
          <w:rFonts w:ascii="Times New Roman" w:hAnsi="Times New Roman" w:cs="Times New Roman"/>
        </w:rPr>
        <w:t>a la Escuela de Posgrado del centro de Altos de Estudios Nacionales y declarado</w:t>
      </w:r>
      <w:r w:rsidRPr="003D7820">
        <w:rPr>
          <w:rFonts w:ascii="Times New Roman" w:hAnsi="Times New Roman" w:cs="Times New Roman"/>
          <w:spacing w:val="1"/>
        </w:rPr>
        <w:t xml:space="preserve"> </w:t>
      </w:r>
      <w:r w:rsidRPr="003D7820">
        <w:rPr>
          <w:rFonts w:ascii="Times New Roman" w:hAnsi="Times New Roman" w:cs="Times New Roman"/>
        </w:rPr>
        <w:t>ser</w:t>
      </w:r>
      <w:r w:rsidRPr="003D7820">
        <w:rPr>
          <w:rFonts w:ascii="Times New Roman" w:hAnsi="Times New Roman" w:cs="Times New Roman"/>
          <w:spacing w:val="-1"/>
        </w:rPr>
        <w:t xml:space="preserve"> </w:t>
      </w:r>
      <w:r w:rsidRPr="003D7820">
        <w:rPr>
          <w:rFonts w:ascii="Times New Roman" w:hAnsi="Times New Roman" w:cs="Times New Roman"/>
        </w:rPr>
        <w:t>la</w:t>
      </w:r>
      <w:r w:rsidRPr="003D7820">
        <w:rPr>
          <w:rFonts w:ascii="Times New Roman" w:hAnsi="Times New Roman" w:cs="Times New Roman"/>
          <w:spacing w:val="1"/>
        </w:rPr>
        <w:t xml:space="preserve"> </w:t>
      </w:r>
      <w:r w:rsidRPr="003D7820">
        <w:rPr>
          <w:rFonts w:ascii="Times New Roman" w:hAnsi="Times New Roman" w:cs="Times New Roman"/>
        </w:rPr>
        <w:t>única</w:t>
      </w:r>
      <w:r w:rsidRPr="003D7820">
        <w:rPr>
          <w:rFonts w:ascii="Times New Roman" w:hAnsi="Times New Roman" w:cs="Times New Roman"/>
          <w:spacing w:val="1"/>
        </w:rPr>
        <w:t xml:space="preserve"> </w:t>
      </w:r>
      <w:r w:rsidRPr="003D7820">
        <w:rPr>
          <w:rFonts w:ascii="Times New Roman" w:hAnsi="Times New Roman" w:cs="Times New Roman"/>
        </w:rPr>
        <w:t>persona</w:t>
      </w:r>
      <w:r w:rsidRPr="003D7820">
        <w:rPr>
          <w:rFonts w:ascii="Times New Roman" w:hAnsi="Times New Roman" w:cs="Times New Roman"/>
          <w:spacing w:val="1"/>
        </w:rPr>
        <w:t xml:space="preserve"> </w:t>
      </w:r>
      <w:r w:rsidRPr="003D7820">
        <w:rPr>
          <w:rFonts w:ascii="Times New Roman" w:hAnsi="Times New Roman" w:cs="Times New Roman"/>
        </w:rPr>
        <w:t>responsable.</w:t>
      </w:r>
    </w:p>
    <w:p w14:paraId="013683E5" w14:textId="77777777" w:rsidR="003D7820" w:rsidRDefault="003D7820">
      <w:pPr>
        <w:spacing w:after="200"/>
        <w:jc w:val="both"/>
        <w:rPr>
          <w:rFonts w:ascii="Times New Roman" w:eastAsia="Times New Roman" w:hAnsi="Times New Roman" w:cs="Times New Roman"/>
          <w:sz w:val="12"/>
          <w:szCs w:val="12"/>
        </w:rPr>
      </w:pPr>
    </w:p>
    <w:p w14:paraId="29489BAD" w14:textId="77777777" w:rsidR="00657D48" w:rsidRDefault="00657D48">
      <w:pPr>
        <w:spacing w:after="200"/>
        <w:ind w:left="851" w:hanging="709"/>
        <w:jc w:val="both"/>
        <w:rPr>
          <w:rFonts w:ascii="Times New Roman" w:eastAsia="Times New Roman" w:hAnsi="Times New Roman" w:cs="Times New Roman"/>
        </w:rPr>
      </w:pPr>
    </w:p>
    <w:p w14:paraId="61891037" w14:textId="667616B3" w:rsidR="00657D48" w:rsidRDefault="003F3EEB">
      <w:pPr>
        <w:tabs>
          <w:tab w:val="left" w:pos="8222"/>
        </w:tabs>
        <w:spacing w:after="0"/>
        <w:ind w:left="851" w:right="284" w:hanging="709"/>
        <w:rPr>
          <w:rFonts w:ascii="Times New Roman" w:eastAsia="Times New Roman" w:hAnsi="Times New Roman" w:cs="Times New Roman"/>
        </w:rPr>
      </w:pPr>
      <w:r>
        <w:rPr>
          <w:rFonts w:ascii="Times New Roman" w:eastAsia="Times New Roman" w:hAnsi="Times New Roman" w:cs="Times New Roman"/>
        </w:rPr>
        <w:t xml:space="preserve">                              ….….…………..…..…………………                              </w:t>
      </w:r>
    </w:p>
    <w:p w14:paraId="623FFC0C" w14:textId="77777777" w:rsidR="00657D48" w:rsidRDefault="003F3EEB">
      <w:pPr>
        <w:tabs>
          <w:tab w:val="left" w:pos="8222"/>
        </w:tabs>
        <w:spacing w:after="0"/>
        <w:ind w:left="851" w:right="284" w:hanging="709"/>
        <w:jc w:val="center"/>
        <w:rPr>
          <w:rFonts w:ascii="Times New Roman" w:eastAsia="Times New Roman" w:hAnsi="Times New Roman" w:cs="Times New Roman"/>
        </w:rPr>
      </w:pPr>
      <w:r>
        <w:rPr>
          <w:rFonts w:ascii="Times New Roman" w:eastAsia="Times New Roman" w:hAnsi="Times New Roman" w:cs="Times New Roman"/>
        </w:rPr>
        <w:t>Miguel Antonio GONZALES LARA</w:t>
      </w:r>
    </w:p>
    <w:p w14:paraId="4BB5520B" w14:textId="77777777" w:rsidR="00657D48" w:rsidRDefault="003F3EEB">
      <w:pPr>
        <w:tabs>
          <w:tab w:val="left" w:pos="8222"/>
        </w:tabs>
        <w:spacing w:after="0"/>
        <w:ind w:left="851" w:right="284" w:hanging="709"/>
        <w:jc w:val="center"/>
        <w:rPr>
          <w:rFonts w:ascii="Times New Roman" w:eastAsia="Times New Roman" w:hAnsi="Times New Roman" w:cs="Times New Roman"/>
        </w:rPr>
        <w:sectPr w:rsidR="00657D48" w:rsidSect="00B12891">
          <w:pgSz w:w="11906" w:h="16838"/>
          <w:pgMar w:top="1701" w:right="1701" w:bottom="1701" w:left="2268" w:header="709" w:footer="709" w:gutter="0"/>
          <w:pgNumType w:fmt="lowerRoman"/>
          <w:cols w:space="720"/>
          <w:titlePg/>
        </w:sectPr>
      </w:pPr>
      <w:r>
        <w:rPr>
          <w:rFonts w:ascii="Times New Roman" w:eastAsia="Times New Roman" w:hAnsi="Times New Roman" w:cs="Times New Roman"/>
        </w:rPr>
        <w:t>D.N.I. Nº 09810707</w:t>
      </w:r>
    </w:p>
    <w:p w14:paraId="0619493D" w14:textId="5FD81F49" w:rsidR="00657D48" w:rsidRPr="007A2787" w:rsidRDefault="003F3EEB" w:rsidP="00EA62EE">
      <w:pPr>
        <w:pStyle w:val="Ttulo1"/>
        <w:spacing w:after="100"/>
      </w:pPr>
      <w:bookmarkStart w:id="6" w:name="_2et92p0" w:colFirst="0" w:colLast="0"/>
      <w:bookmarkStart w:id="7" w:name="_Toc117518881"/>
      <w:bookmarkEnd w:id="6"/>
      <w:r w:rsidRPr="007A2787">
        <w:rPr>
          <w:color w:val="000000"/>
        </w:rPr>
        <w:lastRenderedPageBreak/>
        <w:t>Índice</w:t>
      </w:r>
      <w:bookmarkEnd w:id="7"/>
    </w:p>
    <w:p w14:paraId="131B6974" w14:textId="77777777" w:rsidR="00657D48" w:rsidRDefault="00657D48">
      <w:pPr>
        <w:pBdr>
          <w:top w:val="nil"/>
          <w:left w:val="nil"/>
          <w:bottom w:val="nil"/>
          <w:right w:val="nil"/>
          <w:between w:val="nil"/>
        </w:pBdr>
        <w:spacing w:after="100"/>
        <w:jc w:val="center"/>
        <w:rPr>
          <w:rFonts w:ascii="Times New Roman" w:eastAsia="Times New Roman" w:hAnsi="Times New Roman" w:cs="Times New Roman"/>
          <w:b/>
          <w:color w:val="000000"/>
          <w:sz w:val="4"/>
          <w:szCs w:val="4"/>
        </w:rPr>
      </w:pPr>
    </w:p>
    <w:sdt>
      <w:sdtPr>
        <w:id w:val="-1629239935"/>
        <w:docPartObj>
          <w:docPartGallery w:val="Table of Contents"/>
          <w:docPartUnique/>
        </w:docPartObj>
      </w:sdtPr>
      <w:sdtEndPr/>
      <w:sdtContent>
        <w:p w14:paraId="14755014" w14:textId="77C3D728" w:rsidR="00D8350C" w:rsidRPr="00D8350C" w:rsidRDefault="003F3EEB" w:rsidP="00EA62EE">
          <w:pPr>
            <w:pStyle w:val="TDC1"/>
            <w:tabs>
              <w:tab w:val="right" w:pos="7927"/>
            </w:tabs>
            <w:spacing w:after="60"/>
            <w:rPr>
              <w:rFonts w:ascii="Times New Roman" w:eastAsiaTheme="minorEastAsia" w:hAnsi="Times New Roman" w:cs="Times New Roman"/>
              <w:noProof/>
            </w:rPr>
          </w:pPr>
          <w:r>
            <w:fldChar w:fldCharType="begin"/>
          </w:r>
          <w:r>
            <w:instrText xml:space="preserve"> TOC \h \u \z </w:instrText>
          </w:r>
          <w:r>
            <w:fldChar w:fldCharType="separate"/>
          </w:r>
          <w:hyperlink w:anchor="_Toc117518877" w:history="1">
            <w:r w:rsidR="00D8350C" w:rsidRPr="00D8350C">
              <w:rPr>
                <w:rStyle w:val="Hipervnculo"/>
                <w:rFonts w:ascii="Times New Roman" w:hAnsi="Times New Roman" w:cs="Times New Roman"/>
                <w:noProof/>
              </w:rPr>
              <w:t>Página del jurado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_Toc117518877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ii</w:t>
            </w:r>
            <w:r w:rsidR="00D8350C" w:rsidRPr="00D8350C">
              <w:rPr>
                <w:rFonts w:ascii="Times New Roman" w:hAnsi="Times New Roman" w:cs="Times New Roman"/>
                <w:noProof/>
                <w:webHidden/>
              </w:rPr>
              <w:fldChar w:fldCharType="end"/>
            </w:r>
          </w:hyperlink>
        </w:p>
        <w:p w14:paraId="738DC8CF" w14:textId="7C493F3C"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78" w:history="1">
            <w:r w:rsidR="00D8350C" w:rsidRPr="00D8350C">
              <w:rPr>
                <w:rStyle w:val="Hipervnculo"/>
                <w:rFonts w:ascii="Times New Roman" w:hAnsi="Times New Roman" w:cs="Times New Roman"/>
                <w:noProof/>
              </w:rPr>
              <w:t>Agradecimiento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_Toc117518878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iii</w:t>
            </w:r>
            <w:r w:rsidR="00D8350C" w:rsidRPr="00D8350C">
              <w:rPr>
                <w:rFonts w:ascii="Times New Roman" w:hAnsi="Times New Roman" w:cs="Times New Roman"/>
                <w:noProof/>
                <w:webHidden/>
              </w:rPr>
              <w:fldChar w:fldCharType="end"/>
            </w:r>
          </w:hyperlink>
        </w:p>
        <w:p w14:paraId="215D9A39" w14:textId="5EF777DA"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79" w:history="1">
            <w:r w:rsidR="00D8350C" w:rsidRPr="00D8350C">
              <w:rPr>
                <w:rStyle w:val="Hipervnculo"/>
                <w:rFonts w:ascii="Times New Roman" w:hAnsi="Times New Roman" w:cs="Times New Roman"/>
                <w:noProof/>
              </w:rPr>
              <w:t>Dedicatoria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_Toc117518879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iv</w:t>
            </w:r>
            <w:r w:rsidR="00D8350C" w:rsidRPr="00D8350C">
              <w:rPr>
                <w:rFonts w:ascii="Times New Roman" w:hAnsi="Times New Roman" w:cs="Times New Roman"/>
                <w:noProof/>
                <w:webHidden/>
              </w:rPr>
              <w:fldChar w:fldCharType="end"/>
            </w:r>
          </w:hyperlink>
        </w:p>
        <w:p w14:paraId="1EF23B46" w14:textId="4C066234"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0" w:history="1">
            <w:r w:rsidR="00D8350C" w:rsidRPr="00D8350C">
              <w:rPr>
                <w:rStyle w:val="Hipervnculo"/>
                <w:rFonts w:ascii="Times New Roman" w:hAnsi="Times New Roman" w:cs="Times New Roman"/>
                <w:noProof/>
              </w:rPr>
              <w:t>Declaración Jurada de Autoría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v</w:t>
            </w:r>
            <w:r w:rsidR="00D8350C" w:rsidRPr="00D8350C">
              <w:rPr>
                <w:rFonts w:ascii="Times New Roman" w:hAnsi="Times New Roman" w:cs="Times New Roman"/>
                <w:noProof/>
                <w:webHidden/>
              </w:rPr>
              <w:fldChar w:fldCharType="end"/>
            </w:r>
          </w:hyperlink>
        </w:p>
        <w:p w14:paraId="4DD8B99B" w14:textId="083AB3A7"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1" w:history="1">
            <w:r w:rsidR="00D8350C" w:rsidRPr="00D8350C">
              <w:rPr>
                <w:rStyle w:val="Hipervnculo"/>
                <w:rFonts w:ascii="Times New Roman" w:hAnsi="Times New Roman" w:cs="Times New Roman"/>
                <w:noProof/>
              </w:rPr>
              <w:t>Índice</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vi</w:t>
            </w:r>
            <w:r w:rsidR="00D8350C" w:rsidRPr="00D8350C">
              <w:rPr>
                <w:rFonts w:ascii="Times New Roman" w:hAnsi="Times New Roman" w:cs="Times New Roman"/>
                <w:noProof/>
                <w:webHidden/>
              </w:rPr>
              <w:fldChar w:fldCharType="end"/>
            </w:r>
          </w:hyperlink>
        </w:p>
        <w:p w14:paraId="0E554C99" w14:textId="68FFACDD"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2" w:history="1">
            <w:r w:rsidR="00D8350C" w:rsidRPr="00D8350C">
              <w:rPr>
                <w:rStyle w:val="Hipervnculo"/>
                <w:rFonts w:ascii="Times New Roman" w:hAnsi="Times New Roman" w:cs="Times New Roman"/>
                <w:noProof/>
              </w:rPr>
              <w:t>Índice de tablas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ix</w:t>
            </w:r>
            <w:r w:rsidR="00D8350C" w:rsidRPr="00D8350C">
              <w:rPr>
                <w:rFonts w:ascii="Times New Roman" w:hAnsi="Times New Roman" w:cs="Times New Roman"/>
                <w:noProof/>
                <w:webHidden/>
              </w:rPr>
              <w:fldChar w:fldCharType="end"/>
            </w:r>
          </w:hyperlink>
        </w:p>
        <w:p w14:paraId="79684286" w14:textId="578D7BEC"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3" w:history="1">
            <w:r w:rsidR="00D8350C" w:rsidRPr="00D8350C">
              <w:rPr>
                <w:rStyle w:val="Hipervnculo"/>
                <w:rFonts w:ascii="Times New Roman" w:hAnsi="Times New Roman" w:cs="Times New Roman"/>
                <w:noProof/>
              </w:rPr>
              <w:t>Índice de figuras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x</w:t>
            </w:r>
            <w:r w:rsidR="00D8350C" w:rsidRPr="00D8350C">
              <w:rPr>
                <w:rFonts w:ascii="Times New Roman" w:hAnsi="Times New Roman" w:cs="Times New Roman"/>
                <w:noProof/>
                <w:webHidden/>
              </w:rPr>
              <w:fldChar w:fldCharType="end"/>
            </w:r>
          </w:hyperlink>
        </w:p>
        <w:p w14:paraId="2FCD10AE" w14:textId="1A620AD4"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4" w:history="1">
            <w:r w:rsidR="00D8350C" w:rsidRPr="00D8350C">
              <w:rPr>
                <w:rStyle w:val="Hipervnculo"/>
                <w:rFonts w:ascii="Times New Roman" w:hAnsi="Times New Roman" w:cs="Times New Roman"/>
                <w:noProof/>
              </w:rPr>
              <w:t>Resumen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xi</w:t>
            </w:r>
            <w:r w:rsidR="00D8350C" w:rsidRPr="00D8350C">
              <w:rPr>
                <w:rFonts w:ascii="Times New Roman" w:hAnsi="Times New Roman" w:cs="Times New Roman"/>
                <w:noProof/>
                <w:webHidden/>
              </w:rPr>
              <w:fldChar w:fldCharType="end"/>
            </w:r>
          </w:hyperlink>
        </w:p>
        <w:p w14:paraId="6905C2BE" w14:textId="230B7E98"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5" w:history="1">
            <w:r w:rsidR="00D8350C" w:rsidRPr="00D8350C">
              <w:rPr>
                <w:rStyle w:val="Hipervnculo"/>
                <w:rFonts w:ascii="Times New Roman" w:hAnsi="Times New Roman" w:cs="Times New Roman"/>
                <w:noProof/>
                <w:lang w:val="en-US"/>
              </w:rPr>
              <w:t>Abstract</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xii</w:t>
            </w:r>
            <w:r w:rsidR="00D8350C" w:rsidRPr="00D8350C">
              <w:rPr>
                <w:rFonts w:ascii="Times New Roman" w:hAnsi="Times New Roman" w:cs="Times New Roman"/>
                <w:noProof/>
                <w:webHidden/>
              </w:rPr>
              <w:fldChar w:fldCharType="end"/>
            </w:r>
          </w:hyperlink>
        </w:p>
        <w:p w14:paraId="1D0CE391" w14:textId="3EE4CACF"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6" w:history="1">
            <w:r w:rsidR="00D8350C" w:rsidRPr="00D8350C">
              <w:rPr>
                <w:rStyle w:val="Hipervnculo"/>
                <w:rFonts w:ascii="Times New Roman" w:hAnsi="Times New Roman" w:cs="Times New Roman"/>
                <w:noProof/>
              </w:rPr>
              <w:t>Introducción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13</w:t>
            </w:r>
            <w:r w:rsidR="00D8350C" w:rsidRPr="00D8350C">
              <w:rPr>
                <w:rFonts w:ascii="Times New Roman" w:hAnsi="Times New Roman" w:cs="Times New Roman"/>
                <w:noProof/>
                <w:webHidden/>
              </w:rPr>
              <w:fldChar w:fldCharType="end"/>
            </w:r>
          </w:hyperlink>
        </w:p>
        <w:p w14:paraId="128304C6" w14:textId="0CAD39D0" w:rsidR="00D8350C" w:rsidRPr="00C93C2F"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887" w:history="1">
            <w:r w:rsidR="00D8350C" w:rsidRPr="00C93C2F">
              <w:rPr>
                <w:rStyle w:val="Hipervnculo"/>
                <w:rFonts w:ascii="Times New Roman" w:hAnsi="Times New Roman" w:cs="Times New Roman"/>
                <w:b/>
                <w:noProof/>
              </w:rPr>
              <w:t>CAPÍTULO I.</w:t>
            </w:r>
          </w:hyperlink>
        </w:p>
        <w:p w14:paraId="475AE444" w14:textId="2860D04F" w:rsidR="00D8350C" w:rsidRPr="00C93C2F"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888" w:history="1">
            <w:r w:rsidR="00D8350C" w:rsidRPr="00C93C2F">
              <w:rPr>
                <w:rStyle w:val="Hipervnculo"/>
                <w:rFonts w:ascii="Times New Roman" w:hAnsi="Times New Roman" w:cs="Times New Roman"/>
                <w:b/>
                <w:noProof/>
              </w:rPr>
              <w:t>Planteamiento del problema</w:t>
            </w:r>
          </w:hyperlink>
        </w:p>
        <w:p w14:paraId="04F3D15C" w14:textId="7C86DDB1"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89" w:history="1">
            <w:r w:rsidR="00D8350C" w:rsidRPr="00D8350C">
              <w:rPr>
                <w:rStyle w:val="Hipervnculo"/>
                <w:rFonts w:ascii="Times New Roman" w:hAnsi="Times New Roman" w:cs="Times New Roman"/>
                <w:noProof/>
              </w:rPr>
              <w:t>1.1 Descripción de la realidad problemática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_Toc117518889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16</w:t>
            </w:r>
            <w:r w:rsidR="00D8350C" w:rsidRPr="00D8350C">
              <w:rPr>
                <w:rFonts w:ascii="Times New Roman" w:hAnsi="Times New Roman" w:cs="Times New Roman"/>
                <w:noProof/>
                <w:webHidden/>
              </w:rPr>
              <w:fldChar w:fldCharType="end"/>
            </w:r>
          </w:hyperlink>
        </w:p>
        <w:p w14:paraId="18B362EF" w14:textId="0F1C08D2"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90" w:history="1">
            <w:r w:rsidR="00D8350C" w:rsidRPr="00D8350C">
              <w:rPr>
                <w:rStyle w:val="Hipervnculo"/>
                <w:rFonts w:ascii="Times New Roman" w:hAnsi="Times New Roman" w:cs="Times New Roman"/>
                <w:noProof/>
              </w:rPr>
              <w:t>1.2 Delimitación del problema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34E71A41" w14:textId="0F0C3D2E"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1" w:history="1">
            <w:r w:rsidR="00D8350C" w:rsidRPr="00D8350C">
              <w:rPr>
                <w:rStyle w:val="Hipervnculo"/>
                <w:rFonts w:ascii="Times New Roman" w:hAnsi="Times New Roman" w:cs="Times New Roman"/>
                <w:noProof/>
              </w:rPr>
              <w:t>1.2.1 Delimitación temática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20E708A1" w14:textId="38A8E61E"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2" w:history="1">
            <w:r w:rsidR="00D8350C" w:rsidRPr="00D8350C">
              <w:rPr>
                <w:rStyle w:val="Hipervnculo"/>
                <w:rFonts w:ascii="Times New Roman" w:hAnsi="Times New Roman" w:cs="Times New Roman"/>
                <w:noProof/>
              </w:rPr>
              <w:t>1.2.2 Delimitación teórica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5A42DA3C" w14:textId="48787A4B"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3" w:history="1">
            <w:r w:rsidR="00D8350C" w:rsidRPr="00D8350C">
              <w:rPr>
                <w:rStyle w:val="Hipervnculo"/>
                <w:rFonts w:ascii="Times New Roman" w:hAnsi="Times New Roman" w:cs="Times New Roman"/>
                <w:noProof/>
              </w:rPr>
              <w:t>1.2.3 Delimitación espacial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51BB1027" w14:textId="65EF96A2"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4" w:history="1">
            <w:r w:rsidR="00D8350C" w:rsidRPr="00D8350C">
              <w:rPr>
                <w:rStyle w:val="Hipervnculo"/>
                <w:rFonts w:ascii="Times New Roman" w:hAnsi="Times New Roman" w:cs="Times New Roman"/>
                <w:noProof/>
              </w:rPr>
              <w:t>1.2.4 Delimitación temporal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106798A3" w14:textId="54FB9BE3"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895" w:history="1">
            <w:r w:rsidR="00D8350C" w:rsidRPr="00D8350C">
              <w:rPr>
                <w:rStyle w:val="Hipervnculo"/>
                <w:rFonts w:ascii="Times New Roman" w:hAnsi="Times New Roman" w:cs="Times New Roman"/>
                <w:noProof/>
              </w:rPr>
              <w:t>1.3 Formulación del problema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71577157" w14:textId="109BB4AD"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6" w:history="1">
            <w:r w:rsidR="00D8350C" w:rsidRPr="00D8350C">
              <w:rPr>
                <w:rStyle w:val="Hipervnculo"/>
                <w:rFonts w:ascii="Times New Roman" w:hAnsi="Times New Roman" w:cs="Times New Roman"/>
                <w:noProof/>
              </w:rPr>
              <w:t>1.3.1 Problema general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42A4056D" w14:textId="7C70680E"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7" w:history="1">
            <w:r w:rsidR="00D8350C" w:rsidRPr="00D8350C">
              <w:rPr>
                <w:rStyle w:val="Hipervnculo"/>
                <w:rFonts w:ascii="Times New Roman" w:hAnsi="Times New Roman" w:cs="Times New Roman"/>
                <w:noProof/>
              </w:rPr>
              <w:t>1.3.2 Problemas específicos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_Toc117518897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28</w:t>
            </w:r>
            <w:r w:rsidR="00D8350C" w:rsidRPr="00D8350C">
              <w:rPr>
                <w:rFonts w:ascii="Times New Roman" w:hAnsi="Times New Roman" w:cs="Times New Roman"/>
                <w:noProof/>
                <w:webHidden/>
              </w:rPr>
              <w:fldChar w:fldCharType="end"/>
            </w:r>
          </w:hyperlink>
        </w:p>
        <w:p w14:paraId="2970F2F4" w14:textId="7719FCA1" w:rsidR="00D8350C" w:rsidRPr="00D8350C" w:rsidRDefault="000B67FE" w:rsidP="00EA62EE">
          <w:pPr>
            <w:pStyle w:val="TDC1"/>
            <w:tabs>
              <w:tab w:val="left" w:pos="426"/>
              <w:tab w:val="right" w:pos="7927"/>
            </w:tabs>
            <w:spacing w:after="60"/>
            <w:rPr>
              <w:rFonts w:ascii="Times New Roman" w:eastAsiaTheme="minorEastAsia" w:hAnsi="Times New Roman" w:cs="Times New Roman"/>
              <w:noProof/>
            </w:rPr>
          </w:pPr>
          <w:hyperlink w:anchor="_Toc117518898" w:history="1">
            <w:r w:rsidR="00D8350C" w:rsidRPr="00D8350C">
              <w:rPr>
                <w:rStyle w:val="Hipervnculo"/>
                <w:rFonts w:ascii="Times New Roman" w:hAnsi="Times New Roman" w:cs="Times New Roman"/>
                <w:noProof/>
              </w:rPr>
              <w:t>1.4</w:t>
            </w:r>
            <w:r w:rsidR="00D8350C" w:rsidRPr="00D8350C">
              <w:rPr>
                <w:rFonts w:ascii="Times New Roman" w:eastAsiaTheme="minorEastAsia" w:hAnsi="Times New Roman" w:cs="Times New Roman"/>
                <w:noProof/>
              </w:rPr>
              <w:tab/>
            </w:r>
            <w:r w:rsidR="00D8350C" w:rsidRPr="00D8350C">
              <w:rPr>
                <w:rStyle w:val="Hipervnculo"/>
                <w:rFonts w:ascii="Times New Roman" w:hAnsi="Times New Roman" w:cs="Times New Roman"/>
                <w:noProof/>
              </w:rPr>
              <w:t>Objetivos de la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29</w:t>
            </w:r>
            <w:r w:rsidR="00D8350C" w:rsidRPr="00D8350C">
              <w:rPr>
                <w:rFonts w:ascii="Times New Roman" w:hAnsi="Times New Roman" w:cs="Times New Roman"/>
                <w:noProof/>
                <w:webHidden/>
              </w:rPr>
              <w:fldChar w:fldCharType="end"/>
            </w:r>
          </w:hyperlink>
        </w:p>
        <w:p w14:paraId="6D2531A3" w14:textId="2E69EFFC"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899" w:history="1">
            <w:r w:rsidR="00D8350C" w:rsidRPr="00D8350C">
              <w:rPr>
                <w:rStyle w:val="Hipervnculo"/>
                <w:rFonts w:ascii="Times New Roman" w:hAnsi="Times New Roman" w:cs="Times New Roman"/>
                <w:noProof/>
              </w:rPr>
              <w:t>1.4.1 Objetivo general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_Toc117518899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29</w:t>
            </w:r>
            <w:r w:rsidR="00D8350C" w:rsidRPr="00D8350C">
              <w:rPr>
                <w:rFonts w:ascii="Times New Roman" w:hAnsi="Times New Roman" w:cs="Times New Roman"/>
                <w:noProof/>
                <w:webHidden/>
              </w:rPr>
              <w:fldChar w:fldCharType="end"/>
            </w:r>
          </w:hyperlink>
        </w:p>
        <w:p w14:paraId="46EE207E" w14:textId="73D1A126"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0" w:history="1">
            <w:r w:rsidR="00D8350C" w:rsidRPr="00D8350C">
              <w:rPr>
                <w:rStyle w:val="Hipervnculo"/>
                <w:rFonts w:ascii="Times New Roman" w:hAnsi="Times New Roman" w:cs="Times New Roman"/>
                <w:noProof/>
              </w:rPr>
              <w:t>1.4.2 Objetivos específicos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29</w:t>
            </w:r>
            <w:r w:rsidR="00D8350C" w:rsidRPr="00D8350C">
              <w:rPr>
                <w:rFonts w:ascii="Times New Roman" w:hAnsi="Times New Roman" w:cs="Times New Roman"/>
                <w:noProof/>
                <w:webHidden/>
              </w:rPr>
              <w:fldChar w:fldCharType="end"/>
            </w:r>
          </w:hyperlink>
        </w:p>
        <w:p w14:paraId="3861595E" w14:textId="06AD3473"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01" w:history="1">
            <w:r w:rsidR="00D8350C" w:rsidRPr="00D8350C">
              <w:rPr>
                <w:rStyle w:val="Hipervnculo"/>
                <w:rFonts w:ascii="Times New Roman" w:hAnsi="Times New Roman" w:cs="Times New Roman"/>
                <w:noProof/>
              </w:rPr>
              <w:t>1.5 Justificación e importancia de la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29</w:t>
            </w:r>
            <w:r w:rsidR="00D8350C" w:rsidRPr="00D8350C">
              <w:rPr>
                <w:rFonts w:ascii="Times New Roman" w:hAnsi="Times New Roman" w:cs="Times New Roman"/>
                <w:noProof/>
                <w:webHidden/>
              </w:rPr>
              <w:fldChar w:fldCharType="end"/>
            </w:r>
          </w:hyperlink>
        </w:p>
        <w:p w14:paraId="09AE2B97" w14:textId="5064CFB0"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2" w:history="1">
            <w:r w:rsidR="00D8350C" w:rsidRPr="00D8350C">
              <w:rPr>
                <w:rStyle w:val="Hipervnculo"/>
                <w:rFonts w:ascii="Times New Roman" w:hAnsi="Times New Roman" w:cs="Times New Roman"/>
                <w:noProof/>
              </w:rPr>
              <w:t>1.5.1 Justificación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29</w:t>
            </w:r>
            <w:r w:rsidR="00D8350C" w:rsidRPr="00D8350C">
              <w:rPr>
                <w:rFonts w:ascii="Times New Roman" w:hAnsi="Times New Roman" w:cs="Times New Roman"/>
                <w:noProof/>
                <w:webHidden/>
              </w:rPr>
              <w:fldChar w:fldCharType="end"/>
            </w:r>
          </w:hyperlink>
        </w:p>
        <w:p w14:paraId="79CAFB6C" w14:textId="4AC81E36"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3" w:history="1">
            <w:r w:rsidR="00D8350C" w:rsidRPr="00D8350C">
              <w:rPr>
                <w:rStyle w:val="Hipervnculo"/>
                <w:rFonts w:ascii="Times New Roman" w:hAnsi="Times New Roman" w:cs="Times New Roman"/>
                <w:noProof/>
              </w:rPr>
              <w:t>1.5.2 Importancia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30</w:t>
            </w:r>
            <w:r w:rsidR="00D8350C" w:rsidRPr="00D8350C">
              <w:rPr>
                <w:rFonts w:ascii="Times New Roman" w:hAnsi="Times New Roman" w:cs="Times New Roman"/>
                <w:noProof/>
                <w:webHidden/>
              </w:rPr>
              <w:fldChar w:fldCharType="end"/>
            </w:r>
          </w:hyperlink>
        </w:p>
        <w:p w14:paraId="7B1C4795" w14:textId="647D9868"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04" w:history="1">
            <w:r w:rsidR="00D8350C" w:rsidRPr="00D8350C">
              <w:rPr>
                <w:rStyle w:val="Hipervnculo"/>
                <w:rFonts w:ascii="Times New Roman" w:hAnsi="Times New Roman" w:cs="Times New Roman"/>
                <w:noProof/>
              </w:rPr>
              <w:t>1.6. Limitaciones de la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30</w:t>
            </w:r>
            <w:r w:rsidR="00D8350C" w:rsidRPr="00D8350C">
              <w:rPr>
                <w:rFonts w:ascii="Times New Roman" w:hAnsi="Times New Roman" w:cs="Times New Roman"/>
                <w:noProof/>
                <w:webHidden/>
              </w:rPr>
              <w:fldChar w:fldCharType="end"/>
            </w:r>
          </w:hyperlink>
        </w:p>
        <w:p w14:paraId="06F307F5" w14:textId="38A9E3B0"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5" w:history="1">
            <w:r w:rsidR="00D8350C" w:rsidRPr="00D8350C">
              <w:rPr>
                <w:rStyle w:val="Hipervnculo"/>
                <w:rFonts w:ascii="Times New Roman" w:hAnsi="Times New Roman" w:cs="Times New Roman"/>
                <w:noProof/>
              </w:rPr>
              <w:t>1.6.1 Limitación teórica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30</w:t>
            </w:r>
            <w:r w:rsidR="00D8350C" w:rsidRPr="00D8350C">
              <w:rPr>
                <w:rFonts w:ascii="Times New Roman" w:hAnsi="Times New Roman" w:cs="Times New Roman"/>
                <w:noProof/>
                <w:webHidden/>
              </w:rPr>
              <w:fldChar w:fldCharType="end"/>
            </w:r>
          </w:hyperlink>
        </w:p>
        <w:p w14:paraId="3484F9FA" w14:textId="10D21FDE"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6" w:history="1">
            <w:r w:rsidR="00D8350C" w:rsidRPr="00D8350C">
              <w:rPr>
                <w:rStyle w:val="Hipervnculo"/>
                <w:rFonts w:ascii="Times New Roman" w:hAnsi="Times New Roman" w:cs="Times New Roman"/>
                <w:noProof/>
              </w:rPr>
              <w:t>1.6.2 Limitación geográfica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31</w:t>
            </w:r>
            <w:r w:rsidR="00D8350C" w:rsidRPr="00D8350C">
              <w:rPr>
                <w:rFonts w:ascii="Times New Roman" w:hAnsi="Times New Roman" w:cs="Times New Roman"/>
                <w:noProof/>
                <w:webHidden/>
              </w:rPr>
              <w:fldChar w:fldCharType="end"/>
            </w:r>
          </w:hyperlink>
        </w:p>
        <w:p w14:paraId="6C76B998" w14:textId="43B454D5"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7" w:history="1">
            <w:r w:rsidR="00D8350C" w:rsidRPr="00D8350C">
              <w:rPr>
                <w:rStyle w:val="Hipervnculo"/>
                <w:rFonts w:ascii="Times New Roman" w:hAnsi="Times New Roman" w:cs="Times New Roman"/>
                <w:noProof/>
              </w:rPr>
              <w:t>1.6.3 Limitación logística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_Toc117518907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31</w:t>
            </w:r>
            <w:r w:rsidR="00D8350C" w:rsidRPr="00D8350C">
              <w:rPr>
                <w:rFonts w:ascii="Times New Roman" w:hAnsi="Times New Roman" w:cs="Times New Roman"/>
                <w:noProof/>
                <w:webHidden/>
              </w:rPr>
              <w:fldChar w:fldCharType="end"/>
            </w:r>
          </w:hyperlink>
        </w:p>
        <w:p w14:paraId="21BAEAE4" w14:textId="16A3B5D8"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08" w:history="1">
            <w:r w:rsidR="00D8350C" w:rsidRPr="00D8350C">
              <w:rPr>
                <w:rStyle w:val="Hipervnculo"/>
                <w:rFonts w:ascii="Times New Roman" w:hAnsi="Times New Roman" w:cs="Times New Roman"/>
                <w:noProof/>
              </w:rPr>
              <w:t>1.6.4 Limitación de información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_Toc117518908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31</w:t>
            </w:r>
            <w:r w:rsidR="00D8350C" w:rsidRPr="00D8350C">
              <w:rPr>
                <w:rFonts w:ascii="Times New Roman" w:hAnsi="Times New Roman" w:cs="Times New Roman"/>
                <w:noProof/>
                <w:webHidden/>
              </w:rPr>
              <w:fldChar w:fldCharType="end"/>
            </w:r>
          </w:hyperlink>
        </w:p>
        <w:p w14:paraId="1AD1EB3F" w14:textId="25698805" w:rsidR="00D8350C" w:rsidRPr="00C93C2F"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09" w:history="1">
            <w:r w:rsidR="00D8350C" w:rsidRPr="00C93C2F">
              <w:rPr>
                <w:rStyle w:val="Hipervnculo"/>
                <w:rFonts w:ascii="Times New Roman" w:hAnsi="Times New Roman" w:cs="Times New Roman"/>
                <w:b/>
                <w:noProof/>
              </w:rPr>
              <w:t>CAPÍTULO II.</w:t>
            </w:r>
          </w:hyperlink>
        </w:p>
        <w:p w14:paraId="023A8F21" w14:textId="57D15F51" w:rsidR="00D8350C" w:rsidRPr="00C93C2F"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10" w:history="1">
            <w:r w:rsidR="00D8350C" w:rsidRPr="00C93C2F">
              <w:rPr>
                <w:rStyle w:val="Hipervnculo"/>
                <w:rFonts w:ascii="Times New Roman" w:hAnsi="Times New Roman" w:cs="Times New Roman"/>
                <w:b/>
                <w:noProof/>
              </w:rPr>
              <w:t>Marco teórico</w:t>
            </w:r>
          </w:hyperlink>
        </w:p>
        <w:p w14:paraId="1B91A428" w14:textId="5D3FB18B"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11" w:history="1">
            <w:r w:rsidR="00D8350C" w:rsidRPr="00D8350C">
              <w:rPr>
                <w:rStyle w:val="Hipervnculo"/>
                <w:rFonts w:ascii="Times New Roman" w:hAnsi="Times New Roman" w:cs="Times New Roman"/>
                <w:noProof/>
              </w:rPr>
              <w:t>2.1 Antecedentes de la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32</w:t>
            </w:r>
            <w:r w:rsidR="00D8350C" w:rsidRPr="00D8350C">
              <w:rPr>
                <w:rFonts w:ascii="Times New Roman" w:hAnsi="Times New Roman" w:cs="Times New Roman"/>
                <w:noProof/>
                <w:webHidden/>
              </w:rPr>
              <w:fldChar w:fldCharType="end"/>
            </w:r>
          </w:hyperlink>
        </w:p>
        <w:p w14:paraId="3D534ABB" w14:textId="4622F283"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12" w:history="1">
            <w:r w:rsidR="00D8350C" w:rsidRPr="00D8350C">
              <w:rPr>
                <w:rStyle w:val="Hipervnculo"/>
                <w:rFonts w:ascii="Times New Roman" w:hAnsi="Times New Roman" w:cs="Times New Roman"/>
                <w:noProof/>
              </w:rPr>
              <w:t>2.1.1 Investigaciones internacionales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32</w:t>
            </w:r>
            <w:r w:rsidR="00D8350C" w:rsidRPr="00D8350C">
              <w:rPr>
                <w:rFonts w:ascii="Times New Roman" w:hAnsi="Times New Roman" w:cs="Times New Roman"/>
                <w:noProof/>
                <w:webHidden/>
              </w:rPr>
              <w:fldChar w:fldCharType="end"/>
            </w:r>
          </w:hyperlink>
        </w:p>
        <w:p w14:paraId="3F66BB41" w14:textId="340101BD"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13" w:history="1">
            <w:r w:rsidR="00D8350C" w:rsidRPr="00D8350C">
              <w:rPr>
                <w:rStyle w:val="Hipervnculo"/>
                <w:rFonts w:ascii="Times New Roman" w:hAnsi="Times New Roman" w:cs="Times New Roman"/>
                <w:noProof/>
              </w:rPr>
              <w:t>2.1.2 Investigaciones nacionales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34</w:t>
            </w:r>
            <w:r w:rsidR="00D8350C" w:rsidRPr="00D8350C">
              <w:rPr>
                <w:rFonts w:ascii="Times New Roman" w:hAnsi="Times New Roman" w:cs="Times New Roman"/>
                <w:noProof/>
                <w:webHidden/>
              </w:rPr>
              <w:fldChar w:fldCharType="end"/>
            </w:r>
          </w:hyperlink>
        </w:p>
        <w:p w14:paraId="632A85DA" w14:textId="64A5A1E1"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14" w:history="1">
            <w:r w:rsidR="00D8350C" w:rsidRPr="00D8350C">
              <w:rPr>
                <w:rStyle w:val="Hipervnculo"/>
                <w:rFonts w:ascii="Times New Roman" w:hAnsi="Times New Roman" w:cs="Times New Roman"/>
                <w:noProof/>
              </w:rPr>
              <w:t>2.2. Bases teóricas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37</w:t>
            </w:r>
            <w:r w:rsidR="00D8350C" w:rsidRPr="00D8350C">
              <w:rPr>
                <w:rFonts w:ascii="Times New Roman" w:hAnsi="Times New Roman" w:cs="Times New Roman"/>
                <w:noProof/>
                <w:webHidden/>
              </w:rPr>
              <w:fldChar w:fldCharType="end"/>
            </w:r>
          </w:hyperlink>
        </w:p>
        <w:p w14:paraId="715DE2D8" w14:textId="564A5E16" w:rsidR="00D8350C" w:rsidRPr="00D8350C" w:rsidRDefault="000B67FE" w:rsidP="00EA62EE">
          <w:pPr>
            <w:pStyle w:val="TDC1"/>
            <w:tabs>
              <w:tab w:val="left" w:pos="660"/>
              <w:tab w:val="right" w:pos="7927"/>
            </w:tabs>
            <w:spacing w:after="60"/>
            <w:ind w:left="426"/>
            <w:rPr>
              <w:rFonts w:ascii="Times New Roman" w:eastAsiaTheme="minorEastAsia" w:hAnsi="Times New Roman" w:cs="Times New Roman"/>
              <w:noProof/>
            </w:rPr>
          </w:pPr>
          <w:hyperlink w:anchor="_Toc117518915" w:history="1">
            <w:r w:rsidR="00D8350C" w:rsidRPr="00D8350C">
              <w:rPr>
                <w:rStyle w:val="Hipervnculo"/>
                <w:rFonts w:ascii="Times New Roman" w:hAnsi="Times New Roman" w:cs="Times New Roman"/>
                <w:noProof/>
              </w:rPr>
              <w:t>2.2.1 Variable 1: Gestión del Riesgo de Desastres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37</w:t>
            </w:r>
            <w:r w:rsidR="00D8350C" w:rsidRPr="00D8350C">
              <w:rPr>
                <w:rFonts w:ascii="Times New Roman" w:hAnsi="Times New Roman" w:cs="Times New Roman"/>
                <w:noProof/>
                <w:webHidden/>
              </w:rPr>
              <w:fldChar w:fldCharType="end"/>
            </w:r>
          </w:hyperlink>
        </w:p>
        <w:p w14:paraId="39D472D4" w14:textId="1F633B47"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16" w:history="1">
            <w:r w:rsidR="00D8350C" w:rsidRPr="00D8350C">
              <w:rPr>
                <w:rStyle w:val="Hipervnculo"/>
                <w:rFonts w:ascii="Times New Roman" w:hAnsi="Times New Roman" w:cs="Times New Roman"/>
                <w:noProof/>
              </w:rPr>
              <w:t>2.2.2 Variable 2: Competencia en el Sector Defensa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38</w:t>
            </w:r>
            <w:r w:rsidR="00D8350C" w:rsidRPr="00D8350C">
              <w:rPr>
                <w:rFonts w:ascii="Times New Roman" w:hAnsi="Times New Roman" w:cs="Times New Roman"/>
                <w:noProof/>
                <w:webHidden/>
              </w:rPr>
              <w:fldChar w:fldCharType="end"/>
            </w:r>
          </w:hyperlink>
        </w:p>
        <w:p w14:paraId="2645FA52" w14:textId="57EDFFFA"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17" w:history="1">
            <w:r w:rsidR="00D8350C" w:rsidRPr="00D8350C">
              <w:rPr>
                <w:rStyle w:val="Hipervnculo"/>
                <w:rFonts w:ascii="Times New Roman" w:hAnsi="Times New Roman" w:cs="Times New Roman"/>
                <w:noProof/>
              </w:rPr>
              <w:t>2.3 Bases teóricas de la tesis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_Toc117518917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39</w:t>
            </w:r>
            <w:r w:rsidR="00D8350C" w:rsidRPr="00D8350C">
              <w:rPr>
                <w:rFonts w:ascii="Times New Roman" w:hAnsi="Times New Roman" w:cs="Times New Roman"/>
                <w:noProof/>
                <w:webHidden/>
              </w:rPr>
              <w:fldChar w:fldCharType="end"/>
            </w:r>
          </w:hyperlink>
        </w:p>
        <w:p w14:paraId="65A0E451" w14:textId="40B50F82"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18" w:history="1">
            <w:r w:rsidR="00D8350C" w:rsidRPr="0040034B">
              <w:rPr>
                <w:rStyle w:val="Hipervnculo"/>
                <w:rFonts w:ascii="Times New Roman" w:hAnsi="Times New Roman" w:cs="Times New Roman"/>
                <w:b/>
                <w:noProof/>
              </w:rPr>
              <w:t>CAPÍTULO III.</w:t>
            </w:r>
          </w:hyperlink>
        </w:p>
        <w:p w14:paraId="6863F108" w14:textId="014EA24D"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19" w:history="1">
            <w:r w:rsidR="00D8350C" w:rsidRPr="0040034B">
              <w:rPr>
                <w:rStyle w:val="Hipervnculo"/>
                <w:rFonts w:ascii="Times New Roman" w:hAnsi="Times New Roman" w:cs="Times New Roman"/>
                <w:b/>
                <w:noProof/>
              </w:rPr>
              <w:t>Hipótesis y variables</w:t>
            </w:r>
          </w:hyperlink>
        </w:p>
        <w:p w14:paraId="5D22B88A" w14:textId="74E626A2"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20" w:history="1">
            <w:r w:rsidR="00D8350C" w:rsidRPr="00D8350C">
              <w:rPr>
                <w:rStyle w:val="Hipervnculo"/>
                <w:rFonts w:ascii="Times New Roman" w:hAnsi="Times New Roman" w:cs="Times New Roman"/>
                <w:noProof/>
              </w:rPr>
              <w:t>3.1 Variables de estudio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64</w:t>
            </w:r>
            <w:r w:rsidR="00D8350C" w:rsidRPr="00D8350C">
              <w:rPr>
                <w:rFonts w:ascii="Times New Roman" w:hAnsi="Times New Roman" w:cs="Times New Roman"/>
                <w:noProof/>
                <w:webHidden/>
              </w:rPr>
              <w:fldChar w:fldCharType="end"/>
            </w:r>
          </w:hyperlink>
        </w:p>
        <w:p w14:paraId="180E70E9" w14:textId="09E32E7F"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21" w:history="1">
            <w:r w:rsidR="00D8350C" w:rsidRPr="00D8350C">
              <w:rPr>
                <w:rStyle w:val="Hipervnculo"/>
                <w:rFonts w:ascii="Times New Roman" w:hAnsi="Times New Roman" w:cs="Times New Roman"/>
                <w:noProof/>
              </w:rPr>
              <w:t>3.1.1 Definición conceptual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64</w:t>
            </w:r>
            <w:r w:rsidR="00D8350C" w:rsidRPr="00D8350C">
              <w:rPr>
                <w:rFonts w:ascii="Times New Roman" w:hAnsi="Times New Roman" w:cs="Times New Roman"/>
                <w:noProof/>
                <w:webHidden/>
              </w:rPr>
              <w:fldChar w:fldCharType="end"/>
            </w:r>
          </w:hyperlink>
        </w:p>
        <w:p w14:paraId="7D0E47E6" w14:textId="7986086B"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22" w:history="1">
            <w:r w:rsidR="00D8350C" w:rsidRPr="00D8350C">
              <w:rPr>
                <w:rStyle w:val="Hipervnculo"/>
                <w:rFonts w:ascii="Times New Roman" w:hAnsi="Times New Roman" w:cs="Times New Roman"/>
                <w:noProof/>
              </w:rPr>
              <w:t>3.1.2 Definición operacional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65</w:t>
            </w:r>
            <w:r w:rsidR="00D8350C" w:rsidRPr="00D8350C">
              <w:rPr>
                <w:rFonts w:ascii="Times New Roman" w:hAnsi="Times New Roman" w:cs="Times New Roman"/>
                <w:noProof/>
                <w:webHidden/>
              </w:rPr>
              <w:fldChar w:fldCharType="end"/>
            </w:r>
          </w:hyperlink>
        </w:p>
        <w:p w14:paraId="27E937AB" w14:textId="1B80675B"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23" w:history="1">
            <w:r w:rsidR="00D8350C" w:rsidRPr="00D8350C">
              <w:rPr>
                <w:rStyle w:val="Hipervnculo"/>
                <w:rFonts w:ascii="Times New Roman" w:hAnsi="Times New Roman" w:cs="Times New Roman"/>
                <w:noProof/>
              </w:rPr>
              <w:t>3.2. Hipótesis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70</w:t>
            </w:r>
            <w:r w:rsidR="00D8350C" w:rsidRPr="00D8350C">
              <w:rPr>
                <w:rFonts w:ascii="Times New Roman" w:hAnsi="Times New Roman" w:cs="Times New Roman"/>
                <w:noProof/>
                <w:webHidden/>
              </w:rPr>
              <w:fldChar w:fldCharType="end"/>
            </w:r>
          </w:hyperlink>
        </w:p>
        <w:p w14:paraId="3909715D" w14:textId="1CF8AC6A"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24" w:history="1">
            <w:r w:rsidR="00D8350C" w:rsidRPr="00D8350C">
              <w:rPr>
                <w:rStyle w:val="Hipervnculo"/>
                <w:rFonts w:ascii="Times New Roman" w:hAnsi="Times New Roman" w:cs="Times New Roman"/>
                <w:noProof/>
              </w:rPr>
              <w:t>3.2.1 Hipótesis general</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70</w:t>
            </w:r>
            <w:r w:rsidR="00D8350C" w:rsidRPr="00D8350C">
              <w:rPr>
                <w:rFonts w:ascii="Times New Roman" w:hAnsi="Times New Roman" w:cs="Times New Roman"/>
                <w:noProof/>
                <w:webHidden/>
              </w:rPr>
              <w:fldChar w:fldCharType="end"/>
            </w:r>
          </w:hyperlink>
        </w:p>
        <w:p w14:paraId="3A4ED93F" w14:textId="5D5DDD2C"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25" w:history="1">
            <w:r w:rsidR="00D8350C" w:rsidRPr="00D8350C">
              <w:rPr>
                <w:rStyle w:val="Hipervnculo"/>
                <w:rFonts w:ascii="Times New Roman" w:hAnsi="Times New Roman" w:cs="Times New Roman"/>
                <w:noProof/>
              </w:rPr>
              <w:t>3.2.2 Hipótesis específicas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70</w:t>
            </w:r>
            <w:r w:rsidR="00D8350C" w:rsidRPr="00D8350C">
              <w:rPr>
                <w:rFonts w:ascii="Times New Roman" w:hAnsi="Times New Roman" w:cs="Times New Roman"/>
                <w:noProof/>
                <w:webHidden/>
              </w:rPr>
              <w:fldChar w:fldCharType="end"/>
            </w:r>
          </w:hyperlink>
        </w:p>
        <w:p w14:paraId="7DF12544" w14:textId="7E785891"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26" w:history="1">
            <w:r w:rsidR="00D8350C" w:rsidRPr="0040034B">
              <w:rPr>
                <w:rStyle w:val="Hipervnculo"/>
                <w:rFonts w:ascii="Times New Roman" w:hAnsi="Times New Roman" w:cs="Times New Roman"/>
                <w:b/>
                <w:noProof/>
              </w:rPr>
              <w:t>CAPÍTULO IV.</w:t>
            </w:r>
          </w:hyperlink>
        </w:p>
        <w:p w14:paraId="272FAAAD" w14:textId="0A12F359"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27" w:history="1">
            <w:r w:rsidR="00D8350C" w:rsidRPr="0040034B">
              <w:rPr>
                <w:rStyle w:val="Hipervnculo"/>
                <w:rFonts w:ascii="Times New Roman" w:hAnsi="Times New Roman" w:cs="Times New Roman"/>
                <w:b/>
                <w:noProof/>
              </w:rPr>
              <w:t>Metodología de la investigación</w:t>
            </w:r>
          </w:hyperlink>
        </w:p>
        <w:p w14:paraId="6AB363D2" w14:textId="5675AD6E"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28" w:history="1">
            <w:r w:rsidR="00D8350C" w:rsidRPr="00D8350C">
              <w:rPr>
                <w:rStyle w:val="Hipervnculo"/>
                <w:rFonts w:ascii="Times New Roman" w:hAnsi="Times New Roman" w:cs="Times New Roman"/>
                <w:noProof/>
              </w:rPr>
              <w:t>4.1 Enfoque de la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71</w:t>
            </w:r>
            <w:r w:rsidR="00D8350C" w:rsidRPr="00D8350C">
              <w:rPr>
                <w:rFonts w:ascii="Times New Roman" w:hAnsi="Times New Roman" w:cs="Times New Roman"/>
                <w:noProof/>
                <w:webHidden/>
              </w:rPr>
              <w:fldChar w:fldCharType="end"/>
            </w:r>
          </w:hyperlink>
        </w:p>
        <w:p w14:paraId="7F09593C" w14:textId="25DFBC86"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29" w:history="1">
            <w:r w:rsidR="00D8350C" w:rsidRPr="00D8350C">
              <w:rPr>
                <w:rStyle w:val="Hipervnculo"/>
                <w:rFonts w:ascii="Times New Roman" w:hAnsi="Times New Roman" w:cs="Times New Roman"/>
                <w:noProof/>
              </w:rPr>
              <w:t>4.2 Tipo de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_Toc117518929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71</w:t>
            </w:r>
            <w:r w:rsidR="00D8350C" w:rsidRPr="00D8350C">
              <w:rPr>
                <w:rFonts w:ascii="Times New Roman" w:hAnsi="Times New Roman" w:cs="Times New Roman"/>
                <w:noProof/>
                <w:webHidden/>
              </w:rPr>
              <w:fldChar w:fldCharType="end"/>
            </w:r>
          </w:hyperlink>
        </w:p>
        <w:p w14:paraId="24B14CDB" w14:textId="07CAD307"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0" w:history="1">
            <w:r w:rsidR="00D8350C" w:rsidRPr="00D8350C">
              <w:rPr>
                <w:rStyle w:val="Hipervnculo"/>
                <w:rFonts w:ascii="Times New Roman" w:hAnsi="Times New Roman" w:cs="Times New Roman"/>
                <w:noProof/>
              </w:rPr>
              <w:t>4.3 Método de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71</w:t>
            </w:r>
            <w:r w:rsidR="00D8350C" w:rsidRPr="00D8350C">
              <w:rPr>
                <w:rFonts w:ascii="Times New Roman" w:hAnsi="Times New Roman" w:cs="Times New Roman"/>
                <w:noProof/>
                <w:webHidden/>
              </w:rPr>
              <w:fldChar w:fldCharType="end"/>
            </w:r>
          </w:hyperlink>
        </w:p>
        <w:p w14:paraId="40DE435A" w14:textId="41B2C693"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1" w:history="1">
            <w:r w:rsidR="00D8350C" w:rsidRPr="00D8350C">
              <w:rPr>
                <w:rStyle w:val="Hipervnculo"/>
                <w:rFonts w:ascii="Times New Roman" w:hAnsi="Times New Roman" w:cs="Times New Roman"/>
                <w:noProof/>
              </w:rPr>
              <w:t>4.4 Alcance de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71</w:t>
            </w:r>
            <w:r w:rsidR="00D8350C" w:rsidRPr="00D8350C">
              <w:rPr>
                <w:rFonts w:ascii="Times New Roman" w:hAnsi="Times New Roman" w:cs="Times New Roman"/>
                <w:noProof/>
                <w:webHidden/>
              </w:rPr>
              <w:fldChar w:fldCharType="end"/>
            </w:r>
          </w:hyperlink>
        </w:p>
        <w:p w14:paraId="29CAACB6" w14:textId="71CFB6E1"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2" w:history="1">
            <w:r w:rsidR="00D8350C" w:rsidRPr="00D8350C">
              <w:rPr>
                <w:rStyle w:val="Hipervnculo"/>
                <w:rFonts w:ascii="Times New Roman" w:hAnsi="Times New Roman" w:cs="Times New Roman"/>
                <w:noProof/>
              </w:rPr>
              <w:t>4.5 Diseño de investigación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72</w:t>
            </w:r>
            <w:r w:rsidR="00D8350C" w:rsidRPr="00D8350C">
              <w:rPr>
                <w:rFonts w:ascii="Times New Roman" w:hAnsi="Times New Roman" w:cs="Times New Roman"/>
                <w:noProof/>
                <w:webHidden/>
              </w:rPr>
              <w:fldChar w:fldCharType="end"/>
            </w:r>
          </w:hyperlink>
        </w:p>
        <w:p w14:paraId="5F5093DD" w14:textId="6896B4EF"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3" w:history="1">
            <w:r w:rsidR="00D8350C" w:rsidRPr="00D8350C">
              <w:rPr>
                <w:rStyle w:val="Hipervnculo"/>
                <w:rFonts w:ascii="Times New Roman" w:hAnsi="Times New Roman" w:cs="Times New Roman"/>
                <w:noProof/>
              </w:rPr>
              <w:t>4.6 Población, muestra, unidad de estudio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72</w:t>
            </w:r>
            <w:r w:rsidR="00D8350C" w:rsidRPr="00D8350C">
              <w:rPr>
                <w:rFonts w:ascii="Times New Roman" w:hAnsi="Times New Roman" w:cs="Times New Roman"/>
                <w:noProof/>
                <w:webHidden/>
              </w:rPr>
              <w:fldChar w:fldCharType="end"/>
            </w:r>
          </w:hyperlink>
        </w:p>
        <w:p w14:paraId="314565A5" w14:textId="6313783F"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34" w:history="1">
            <w:r w:rsidR="00D8350C" w:rsidRPr="00D8350C">
              <w:rPr>
                <w:rStyle w:val="Hipervnculo"/>
                <w:rFonts w:ascii="Times New Roman" w:hAnsi="Times New Roman" w:cs="Times New Roman"/>
                <w:noProof/>
              </w:rPr>
              <w:t>4.6.1 Población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72</w:t>
            </w:r>
            <w:r w:rsidR="00D8350C" w:rsidRPr="00D8350C">
              <w:rPr>
                <w:rFonts w:ascii="Times New Roman" w:hAnsi="Times New Roman" w:cs="Times New Roman"/>
                <w:noProof/>
                <w:webHidden/>
              </w:rPr>
              <w:fldChar w:fldCharType="end"/>
            </w:r>
          </w:hyperlink>
        </w:p>
        <w:p w14:paraId="4E59350C" w14:textId="7535732F"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35" w:history="1">
            <w:r w:rsidR="00D8350C" w:rsidRPr="00D8350C">
              <w:rPr>
                <w:rStyle w:val="Hipervnculo"/>
                <w:rFonts w:ascii="Times New Roman" w:hAnsi="Times New Roman" w:cs="Times New Roman"/>
                <w:noProof/>
              </w:rPr>
              <w:t>4.6.2 Muestra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72</w:t>
            </w:r>
            <w:r w:rsidR="00D8350C" w:rsidRPr="00D8350C">
              <w:rPr>
                <w:rFonts w:ascii="Times New Roman" w:hAnsi="Times New Roman" w:cs="Times New Roman"/>
                <w:noProof/>
                <w:webHidden/>
              </w:rPr>
              <w:fldChar w:fldCharType="end"/>
            </w:r>
          </w:hyperlink>
        </w:p>
        <w:p w14:paraId="4F54D97C" w14:textId="34EB3F06"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36" w:history="1">
            <w:r w:rsidR="00D8350C" w:rsidRPr="00D8350C">
              <w:rPr>
                <w:rStyle w:val="Hipervnculo"/>
                <w:rFonts w:ascii="Times New Roman" w:hAnsi="Times New Roman" w:cs="Times New Roman"/>
                <w:noProof/>
              </w:rPr>
              <w:t>4.6.3 Unidad de estudio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73</w:t>
            </w:r>
            <w:r w:rsidR="00D8350C" w:rsidRPr="00D8350C">
              <w:rPr>
                <w:rFonts w:ascii="Times New Roman" w:hAnsi="Times New Roman" w:cs="Times New Roman"/>
                <w:noProof/>
                <w:webHidden/>
              </w:rPr>
              <w:fldChar w:fldCharType="end"/>
            </w:r>
          </w:hyperlink>
        </w:p>
        <w:p w14:paraId="052858DF" w14:textId="334579B1"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7" w:history="1">
            <w:r w:rsidR="00D8350C" w:rsidRPr="00D8350C">
              <w:rPr>
                <w:rStyle w:val="Hipervnculo"/>
                <w:rFonts w:ascii="Times New Roman" w:hAnsi="Times New Roman" w:cs="Times New Roman"/>
                <w:noProof/>
              </w:rPr>
              <w:t>4.7. Fuente de información</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_Toc117518937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73</w:t>
            </w:r>
            <w:r w:rsidR="00D8350C" w:rsidRPr="00D8350C">
              <w:rPr>
                <w:rFonts w:ascii="Times New Roman" w:hAnsi="Times New Roman" w:cs="Times New Roman"/>
                <w:noProof/>
                <w:webHidden/>
              </w:rPr>
              <w:fldChar w:fldCharType="end"/>
            </w:r>
          </w:hyperlink>
        </w:p>
        <w:p w14:paraId="77E608EC" w14:textId="1F56A7BB"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38" w:history="1">
            <w:r w:rsidR="00D8350C" w:rsidRPr="00D8350C">
              <w:rPr>
                <w:rStyle w:val="Hipervnculo"/>
                <w:rFonts w:ascii="Times New Roman" w:hAnsi="Times New Roman" w:cs="Times New Roman"/>
                <w:noProof/>
              </w:rPr>
              <w:t>4.8. Técnicas e instrumentos de recolección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73</w:t>
            </w:r>
            <w:r w:rsidR="00D8350C" w:rsidRPr="00D8350C">
              <w:rPr>
                <w:rFonts w:ascii="Times New Roman" w:hAnsi="Times New Roman" w:cs="Times New Roman"/>
                <w:noProof/>
                <w:webHidden/>
              </w:rPr>
              <w:fldChar w:fldCharType="end"/>
            </w:r>
          </w:hyperlink>
        </w:p>
        <w:p w14:paraId="4EF1427D" w14:textId="3688CA14"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39" w:history="1">
            <w:r w:rsidR="00D8350C" w:rsidRPr="00D8350C">
              <w:rPr>
                <w:rStyle w:val="Hipervnculo"/>
                <w:rFonts w:ascii="Times New Roman" w:hAnsi="Times New Roman" w:cs="Times New Roman"/>
                <w:noProof/>
              </w:rPr>
              <w:t>4.8.1 Técnicas de recolección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_Toc117518939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73</w:t>
            </w:r>
            <w:r w:rsidR="00D8350C" w:rsidRPr="00D8350C">
              <w:rPr>
                <w:rFonts w:ascii="Times New Roman" w:hAnsi="Times New Roman" w:cs="Times New Roman"/>
                <w:noProof/>
                <w:webHidden/>
              </w:rPr>
              <w:fldChar w:fldCharType="end"/>
            </w:r>
          </w:hyperlink>
        </w:p>
        <w:p w14:paraId="18909FE3" w14:textId="4CC8410B" w:rsidR="00D8350C" w:rsidRPr="00D8350C" w:rsidRDefault="000B67FE" w:rsidP="00EA62EE">
          <w:pPr>
            <w:pStyle w:val="TDC1"/>
            <w:tabs>
              <w:tab w:val="right" w:pos="7927"/>
            </w:tabs>
            <w:spacing w:after="60"/>
            <w:ind w:left="426"/>
            <w:rPr>
              <w:rFonts w:ascii="Times New Roman" w:eastAsiaTheme="minorEastAsia" w:hAnsi="Times New Roman" w:cs="Times New Roman"/>
              <w:noProof/>
            </w:rPr>
          </w:pPr>
          <w:hyperlink w:anchor="_Toc117518940" w:history="1">
            <w:r w:rsidR="00D8350C" w:rsidRPr="00D8350C">
              <w:rPr>
                <w:rStyle w:val="Hipervnculo"/>
                <w:rFonts w:ascii="Times New Roman" w:hAnsi="Times New Roman" w:cs="Times New Roman"/>
                <w:noProof/>
              </w:rPr>
              <w:t>4.8.2 Instrumentos de recolección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73</w:t>
            </w:r>
            <w:r w:rsidR="00D8350C" w:rsidRPr="00D8350C">
              <w:rPr>
                <w:rFonts w:ascii="Times New Roman" w:hAnsi="Times New Roman" w:cs="Times New Roman"/>
                <w:noProof/>
                <w:webHidden/>
              </w:rPr>
              <w:fldChar w:fldCharType="end"/>
            </w:r>
          </w:hyperlink>
        </w:p>
        <w:p w14:paraId="7F527F35" w14:textId="36E7AAE3"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41" w:history="1">
            <w:r w:rsidR="00D8350C" w:rsidRPr="00D8350C">
              <w:rPr>
                <w:rStyle w:val="Hipervnculo"/>
                <w:rFonts w:ascii="Times New Roman" w:hAnsi="Times New Roman" w:cs="Times New Roman"/>
                <w:noProof/>
              </w:rPr>
              <w:t>4.9 Método de análisis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78</w:t>
            </w:r>
            <w:r w:rsidR="00D8350C" w:rsidRPr="00D8350C">
              <w:rPr>
                <w:rFonts w:ascii="Times New Roman" w:hAnsi="Times New Roman" w:cs="Times New Roman"/>
                <w:noProof/>
                <w:webHidden/>
              </w:rPr>
              <w:fldChar w:fldCharType="end"/>
            </w:r>
          </w:hyperlink>
        </w:p>
        <w:p w14:paraId="1AE719DB" w14:textId="1908A04E"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42" w:history="1">
            <w:r w:rsidR="00D8350C" w:rsidRPr="0040034B">
              <w:rPr>
                <w:rStyle w:val="Hipervnculo"/>
                <w:rFonts w:ascii="Times New Roman" w:hAnsi="Times New Roman" w:cs="Times New Roman"/>
                <w:b/>
                <w:noProof/>
              </w:rPr>
              <w:t>CAPÍTULO V</w:t>
            </w:r>
          </w:hyperlink>
        </w:p>
        <w:p w14:paraId="2ED794F1" w14:textId="7AFA8A2D"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43" w:history="1">
            <w:r w:rsidR="00D8350C" w:rsidRPr="0040034B">
              <w:rPr>
                <w:rStyle w:val="Hipervnculo"/>
                <w:rFonts w:ascii="Times New Roman" w:hAnsi="Times New Roman" w:cs="Times New Roman"/>
                <w:b/>
                <w:noProof/>
              </w:rPr>
              <w:t>Resultados</w:t>
            </w:r>
          </w:hyperlink>
        </w:p>
        <w:p w14:paraId="1F79A5BD" w14:textId="6BC9F2E0"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44" w:history="1">
            <w:r w:rsidR="00D8350C" w:rsidRPr="00D8350C">
              <w:rPr>
                <w:rStyle w:val="Hipervnculo"/>
                <w:rFonts w:ascii="Times New Roman" w:hAnsi="Times New Roman" w:cs="Times New Roman"/>
                <w:noProof/>
              </w:rPr>
              <w:t>5.1 Análisis descriptivo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79</w:t>
            </w:r>
            <w:r w:rsidR="00D8350C" w:rsidRPr="00D8350C">
              <w:rPr>
                <w:rFonts w:ascii="Times New Roman" w:hAnsi="Times New Roman" w:cs="Times New Roman"/>
                <w:noProof/>
                <w:webHidden/>
              </w:rPr>
              <w:fldChar w:fldCharType="end"/>
            </w:r>
          </w:hyperlink>
        </w:p>
        <w:p w14:paraId="18D80261" w14:textId="2879D4CB"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45" w:history="1">
            <w:r w:rsidR="00D8350C" w:rsidRPr="00D8350C">
              <w:rPr>
                <w:rStyle w:val="Hipervnculo"/>
                <w:rFonts w:ascii="Times New Roman" w:hAnsi="Times New Roman" w:cs="Times New Roman"/>
                <w:noProof/>
              </w:rPr>
              <w:t>5.2. Contrastación de hipótesis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87</w:t>
            </w:r>
            <w:r w:rsidR="00D8350C" w:rsidRPr="00D8350C">
              <w:rPr>
                <w:rFonts w:ascii="Times New Roman" w:hAnsi="Times New Roman" w:cs="Times New Roman"/>
                <w:noProof/>
                <w:webHidden/>
              </w:rPr>
              <w:fldChar w:fldCharType="end"/>
            </w:r>
          </w:hyperlink>
        </w:p>
        <w:p w14:paraId="31DFF7FD" w14:textId="675D038F"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46" w:history="1">
            <w:r w:rsidR="00D8350C" w:rsidRPr="0040034B">
              <w:rPr>
                <w:rStyle w:val="Hipervnculo"/>
                <w:rFonts w:ascii="Times New Roman" w:hAnsi="Times New Roman" w:cs="Times New Roman"/>
                <w:b/>
                <w:noProof/>
              </w:rPr>
              <w:t>CAPÍTULO VI</w:t>
            </w:r>
          </w:hyperlink>
        </w:p>
        <w:p w14:paraId="783979F3" w14:textId="765E7377" w:rsidR="00D8350C" w:rsidRPr="0040034B" w:rsidRDefault="000B67FE" w:rsidP="00EA62EE">
          <w:pPr>
            <w:pStyle w:val="TDC1"/>
            <w:tabs>
              <w:tab w:val="right" w:pos="7927"/>
            </w:tabs>
            <w:spacing w:after="60"/>
            <w:jc w:val="center"/>
            <w:rPr>
              <w:rFonts w:ascii="Times New Roman" w:eastAsiaTheme="minorEastAsia" w:hAnsi="Times New Roman" w:cs="Times New Roman"/>
              <w:b/>
              <w:noProof/>
            </w:rPr>
          </w:pPr>
          <w:hyperlink w:anchor="_Toc117518947" w:history="1">
            <w:r w:rsidR="00D8350C" w:rsidRPr="0040034B">
              <w:rPr>
                <w:rStyle w:val="Hipervnculo"/>
                <w:rFonts w:ascii="Times New Roman" w:hAnsi="Times New Roman" w:cs="Times New Roman"/>
                <w:b/>
                <w:noProof/>
              </w:rPr>
              <w:t>Discusión de resultados</w:t>
            </w:r>
          </w:hyperlink>
        </w:p>
        <w:p w14:paraId="500865B3" w14:textId="4B13F35D"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48" w:history="1">
            <w:r w:rsidR="00D8350C" w:rsidRPr="00EA62EE">
              <w:rPr>
                <w:rStyle w:val="Hipervnculo"/>
                <w:rFonts w:ascii="Times New Roman" w:hAnsi="Times New Roman" w:cs="Times New Roman"/>
                <w:b/>
                <w:noProof/>
              </w:rPr>
              <w:t>C</w:t>
            </w:r>
            <w:r w:rsidR="0040034B" w:rsidRPr="00EA62EE">
              <w:rPr>
                <w:rStyle w:val="Hipervnculo"/>
                <w:rFonts w:ascii="Times New Roman" w:hAnsi="Times New Roman" w:cs="Times New Roman"/>
                <w:b/>
                <w:noProof/>
              </w:rPr>
              <w:t>onclusiones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_Toc117518948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98</w:t>
            </w:r>
            <w:r w:rsidR="00D8350C" w:rsidRPr="00D8350C">
              <w:rPr>
                <w:rFonts w:ascii="Times New Roman" w:hAnsi="Times New Roman" w:cs="Times New Roman"/>
                <w:noProof/>
                <w:webHidden/>
              </w:rPr>
              <w:fldChar w:fldCharType="end"/>
            </w:r>
          </w:hyperlink>
        </w:p>
        <w:p w14:paraId="6D3258C5" w14:textId="66B58815"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49" w:history="1">
            <w:r w:rsidR="00D8350C" w:rsidRPr="00EA62EE">
              <w:rPr>
                <w:rStyle w:val="Hipervnculo"/>
                <w:rFonts w:ascii="Times New Roman" w:hAnsi="Times New Roman" w:cs="Times New Roman"/>
                <w:b/>
                <w:noProof/>
              </w:rPr>
              <w:t>R</w:t>
            </w:r>
            <w:r w:rsidR="0040034B" w:rsidRPr="00EA62EE">
              <w:rPr>
                <w:rStyle w:val="Hipervnculo"/>
                <w:rFonts w:ascii="Times New Roman" w:hAnsi="Times New Roman" w:cs="Times New Roman"/>
                <w:b/>
                <w:noProof/>
              </w:rPr>
              <w:t>ecomendaciones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_Toc117518949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99</w:t>
            </w:r>
            <w:r w:rsidR="00D8350C" w:rsidRPr="00D8350C">
              <w:rPr>
                <w:rFonts w:ascii="Times New Roman" w:hAnsi="Times New Roman" w:cs="Times New Roman"/>
                <w:noProof/>
                <w:webHidden/>
              </w:rPr>
              <w:fldChar w:fldCharType="end"/>
            </w:r>
          </w:hyperlink>
        </w:p>
        <w:p w14:paraId="3F84681D" w14:textId="72D4CB76"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0" w:history="1">
            <w:r w:rsidR="00D8350C" w:rsidRPr="00EA62EE">
              <w:rPr>
                <w:rStyle w:val="Hipervnculo"/>
                <w:rFonts w:ascii="Times New Roman" w:hAnsi="Times New Roman" w:cs="Times New Roman"/>
                <w:b/>
                <w:noProof/>
              </w:rPr>
              <w:t>P</w:t>
            </w:r>
            <w:r w:rsidR="0040034B" w:rsidRPr="00EA62EE">
              <w:rPr>
                <w:rStyle w:val="Hipervnculo"/>
                <w:rFonts w:ascii="Times New Roman" w:hAnsi="Times New Roman" w:cs="Times New Roman"/>
                <w:b/>
                <w:noProof/>
              </w:rPr>
              <w:t>ropuesta para enfrentar el problema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_Toc117518950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101</w:t>
            </w:r>
            <w:r w:rsidR="00D8350C" w:rsidRPr="00D8350C">
              <w:rPr>
                <w:rFonts w:ascii="Times New Roman" w:hAnsi="Times New Roman" w:cs="Times New Roman"/>
                <w:noProof/>
                <w:webHidden/>
              </w:rPr>
              <w:fldChar w:fldCharType="end"/>
            </w:r>
          </w:hyperlink>
        </w:p>
        <w:p w14:paraId="559B05C3" w14:textId="376A0505"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1" w:history="1">
            <w:r w:rsidR="00D8350C" w:rsidRPr="00EA62EE">
              <w:rPr>
                <w:rStyle w:val="Hipervnculo"/>
                <w:rFonts w:ascii="Times New Roman" w:hAnsi="Times New Roman" w:cs="Times New Roman"/>
                <w:b/>
                <w:noProof/>
              </w:rPr>
              <w:t>Referencias bibliográficas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_Toc117518951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111</w:t>
            </w:r>
            <w:r w:rsidR="00D8350C" w:rsidRPr="00D8350C">
              <w:rPr>
                <w:rFonts w:ascii="Times New Roman" w:hAnsi="Times New Roman" w:cs="Times New Roman"/>
                <w:noProof/>
                <w:webHidden/>
              </w:rPr>
              <w:fldChar w:fldCharType="end"/>
            </w:r>
          </w:hyperlink>
        </w:p>
        <w:p w14:paraId="3738F2E4" w14:textId="741DBED5"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2" w:history="1">
            <w:r w:rsidR="00D8350C" w:rsidRPr="00EA62EE">
              <w:rPr>
                <w:rStyle w:val="Hipervnculo"/>
                <w:rFonts w:ascii="Times New Roman" w:hAnsi="Times New Roman" w:cs="Times New Roman"/>
                <w:b/>
                <w:noProof/>
              </w:rPr>
              <w:t>A</w:t>
            </w:r>
            <w:r w:rsidR="00EA62EE" w:rsidRPr="00EA62EE">
              <w:rPr>
                <w:rStyle w:val="Hipervnculo"/>
                <w:rFonts w:ascii="Times New Roman" w:hAnsi="Times New Roman" w:cs="Times New Roman"/>
                <w:b/>
                <w:noProof/>
              </w:rPr>
              <w:t>nexos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_Toc117518952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120</w:t>
            </w:r>
            <w:r w:rsidR="00D8350C" w:rsidRPr="00D8350C">
              <w:rPr>
                <w:rFonts w:ascii="Times New Roman" w:hAnsi="Times New Roman" w:cs="Times New Roman"/>
                <w:noProof/>
                <w:webHidden/>
              </w:rPr>
              <w:fldChar w:fldCharType="end"/>
            </w:r>
          </w:hyperlink>
        </w:p>
        <w:p w14:paraId="1ECAE1A2" w14:textId="08137196"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3" w:history="1">
            <w:r w:rsidR="00D8350C" w:rsidRPr="00D8350C">
              <w:rPr>
                <w:rStyle w:val="Hipervnculo"/>
                <w:rFonts w:ascii="Times New Roman" w:hAnsi="Times New Roman" w:cs="Times New Roman"/>
                <w:noProof/>
              </w:rPr>
              <w:t>Anexo1: Matriz de consistencia</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_Toc117518953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121</w:t>
            </w:r>
            <w:r w:rsidR="00D8350C" w:rsidRPr="00D8350C">
              <w:rPr>
                <w:rFonts w:ascii="Times New Roman" w:hAnsi="Times New Roman" w:cs="Times New Roman"/>
                <w:noProof/>
                <w:webHidden/>
              </w:rPr>
              <w:fldChar w:fldCharType="end"/>
            </w:r>
          </w:hyperlink>
        </w:p>
        <w:p w14:paraId="683EBE4B" w14:textId="30E4E76E"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4" w:history="1">
            <w:r w:rsidR="00D8350C" w:rsidRPr="00D8350C">
              <w:rPr>
                <w:rStyle w:val="Hipervnculo"/>
                <w:rFonts w:ascii="Times New Roman" w:hAnsi="Times New Roman" w:cs="Times New Roman"/>
                <w:noProof/>
              </w:rPr>
              <w:t>Anexo 2: Instrumento de recolección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_Toc117518954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122</w:t>
            </w:r>
            <w:r w:rsidR="00D8350C" w:rsidRPr="00D8350C">
              <w:rPr>
                <w:rFonts w:ascii="Times New Roman" w:hAnsi="Times New Roman" w:cs="Times New Roman"/>
                <w:noProof/>
                <w:webHidden/>
              </w:rPr>
              <w:fldChar w:fldCharType="end"/>
            </w:r>
          </w:hyperlink>
        </w:p>
        <w:p w14:paraId="4A173729" w14:textId="09235C41" w:rsidR="00D8350C" w:rsidRPr="00D8350C" w:rsidRDefault="000B67FE" w:rsidP="00EA62EE">
          <w:pPr>
            <w:pStyle w:val="TDC1"/>
            <w:tabs>
              <w:tab w:val="right" w:pos="7927"/>
            </w:tabs>
            <w:spacing w:after="60"/>
            <w:rPr>
              <w:rFonts w:ascii="Times New Roman" w:eastAsiaTheme="minorEastAsia" w:hAnsi="Times New Roman" w:cs="Times New Roman"/>
              <w:noProof/>
            </w:rPr>
          </w:pPr>
          <w:hyperlink w:anchor="_Toc117518955" w:history="1">
            <w:r w:rsidR="00D8350C" w:rsidRPr="00D8350C">
              <w:rPr>
                <w:rStyle w:val="Hipervnculo"/>
                <w:rFonts w:ascii="Times New Roman" w:hAnsi="Times New Roman" w:cs="Times New Roman"/>
                <w:noProof/>
              </w:rPr>
              <w:t>Anexo 3: Confiabilidad del instrumento</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_Toc117518955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125</w:t>
            </w:r>
            <w:r w:rsidR="00D8350C" w:rsidRPr="00D8350C">
              <w:rPr>
                <w:rFonts w:ascii="Times New Roman" w:hAnsi="Times New Roman" w:cs="Times New Roman"/>
                <w:noProof/>
                <w:webHidden/>
              </w:rPr>
              <w:fldChar w:fldCharType="end"/>
            </w:r>
          </w:hyperlink>
        </w:p>
        <w:p w14:paraId="77ABF9A8" w14:textId="32D4CB38" w:rsidR="00D8350C" w:rsidRDefault="000B67FE" w:rsidP="00EA62EE">
          <w:pPr>
            <w:pStyle w:val="TDC1"/>
            <w:tabs>
              <w:tab w:val="right" w:pos="7927"/>
            </w:tabs>
            <w:spacing w:after="60"/>
            <w:rPr>
              <w:rFonts w:asciiTheme="minorHAnsi" w:eastAsiaTheme="minorEastAsia" w:hAnsiTheme="minorHAnsi" w:cstheme="minorBidi"/>
              <w:noProof/>
              <w:sz w:val="22"/>
              <w:szCs w:val="22"/>
            </w:rPr>
          </w:pPr>
          <w:hyperlink w:anchor="_Toc117518956" w:history="1">
            <w:r w:rsidR="00D8350C" w:rsidRPr="00D8350C">
              <w:rPr>
                <w:rStyle w:val="Hipervnculo"/>
                <w:rFonts w:ascii="Times New Roman" w:hAnsi="Times New Roman" w:cs="Times New Roman"/>
                <w:noProof/>
              </w:rPr>
              <w:t>Anexo 4: Informes de validez del instrumento de recolección de datos</w:t>
            </w:r>
            <w:r w:rsidR="00D8350C" w:rsidRPr="00D8350C">
              <w:rPr>
                <w:rFonts w:ascii="Times New Roman" w:hAnsi="Times New Roman" w:cs="Times New Roman"/>
                <w:noProof/>
                <w:webHidden/>
              </w:rPr>
              <w:tab/>
            </w:r>
            <w:r w:rsidR="00D8350C" w:rsidRPr="00D8350C">
              <w:rPr>
                <w:rFonts w:ascii="Times New Roman" w:hAnsi="Times New Roman" w:cs="Times New Roman"/>
                <w:noProof/>
                <w:webHidden/>
              </w:rPr>
              <w:fldChar w:fldCharType="begin"/>
            </w:r>
            <w:r w:rsidR="00D8350C" w:rsidRPr="00D8350C">
              <w:rPr>
                <w:rFonts w:ascii="Times New Roman" w:hAnsi="Times New Roman" w:cs="Times New Roman"/>
                <w:noProof/>
                <w:webHidden/>
              </w:rPr>
              <w:instrText xml:space="preserve"> PAGEREF _Toc117518956 \h </w:instrText>
            </w:r>
            <w:r w:rsidR="00D8350C" w:rsidRPr="00D8350C">
              <w:rPr>
                <w:rFonts w:ascii="Times New Roman" w:hAnsi="Times New Roman" w:cs="Times New Roman"/>
                <w:noProof/>
                <w:webHidden/>
              </w:rPr>
            </w:r>
            <w:r w:rsidR="00D8350C" w:rsidRPr="00D8350C">
              <w:rPr>
                <w:rFonts w:ascii="Times New Roman" w:hAnsi="Times New Roman" w:cs="Times New Roman"/>
                <w:noProof/>
                <w:webHidden/>
              </w:rPr>
              <w:fldChar w:fldCharType="separate"/>
            </w:r>
            <w:r w:rsidR="002D22AA">
              <w:rPr>
                <w:rFonts w:ascii="Times New Roman" w:hAnsi="Times New Roman" w:cs="Times New Roman"/>
                <w:noProof/>
                <w:webHidden/>
              </w:rPr>
              <w:t>126</w:t>
            </w:r>
            <w:r w:rsidR="00D8350C" w:rsidRPr="00D8350C">
              <w:rPr>
                <w:rFonts w:ascii="Times New Roman" w:hAnsi="Times New Roman" w:cs="Times New Roman"/>
                <w:noProof/>
                <w:webHidden/>
              </w:rPr>
              <w:fldChar w:fldCharType="end"/>
            </w:r>
          </w:hyperlink>
        </w:p>
        <w:p w14:paraId="01D44425" w14:textId="2B9BD634" w:rsidR="00657D48" w:rsidRDefault="003F3EEB">
          <w:pPr>
            <w:spacing w:after="100"/>
          </w:pPr>
          <w:r>
            <w:fldChar w:fldCharType="end"/>
          </w:r>
        </w:p>
      </w:sdtContent>
    </w:sdt>
    <w:p w14:paraId="4746FD8F" w14:textId="77777777" w:rsidR="00657D48" w:rsidRDefault="00657D48">
      <w:pPr>
        <w:tabs>
          <w:tab w:val="left" w:pos="8222"/>
        </w:tabs>
        <w:spacing w:line="240" w:lineRule="auto"/>
        <w:rPr>
          <w:rFonts w:ascii="Times New Roman" w:eastAsia="Times New Roman" w:hAnsi="Times New Roman" w:cs="Times New Roman"/>
        </w:rPr>
        <w:sectPr w:rsidR="00657D48" w:rsidSect="00B12891">
          <w:pgSz w:w="11906" w:h="16838"/>
          <w:pgMar w:top="1701" w:right="1701" w:bottom="1701" w:left="2268" w:header="709" w:footer="709" w:gutter="0"/>
          <w:pgNumType w:fmt="lowerRoman"/>
          <w:cols w:space="720"/>
          <w:titlePg/>
        </w:sectPr>
      </w:pPr>
    </w:p>
    <w:p w14:paraId="097A20AF" w14:textId="7CF3B5DC" w:rsidR="00657D48" w:rsidRDefault="003F3EEB">
      <w:pPr>
        <w:pStyle w:val="Ttulo1"/>
      </w:pPr>
      <w:bookmarkStart w:id="8" w:name="_3vac5uf" w:colFirst="0" w:colLast="0"/>
      <w:bookmarkStart w:id="9" w:name="_Toc117518882"/>
      <w:bookmarkEnd w:id="8"/>
      <w:r>
        <w:lastRenderedPageBreak/>
        <w:t>Índice de tablas</w:t>
      </w:r>
      <w:bookmarkEnd w:id="9"/>
    </w:p>
    <w:p w14:paraId="126F1C3D" w14:textId="4E2CA9EA" w:rsidR="00DC5CE4" w:rsidRPr="00744F7A" w:rsidRDefault="00DC5CE4" w:rsidP="00744F7A">
      <w:pPr>
        <w:pStyle w:val="Tabladeilustraciones"/>
        <w:tabs>
          <w:tab w:val="right" w:pos="7927"/>
        </w:tabs>
        <w:spacing w:after="80"/>
        <w:ind w:left="851" w:hanging="851"/>
        <w:rPr>
          <w:rFonts w:ascii="Times New Roman" w:hAnsi="Times New Roman" w:cs="Times New Roman"/>
          <w:noProof/>
        </w:rPr>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TOC \h \z \c "Tabla" </w:instrText>
      </w:r>
      <w:r>
        <w:rPr>
          <w:rFonts w:ascii="Times New Roman" w:eastAsia="Times New Roman" w:hAnsi="Times New Roman" w:cs="Times New Roman"/>
        </w:rPr>
        <w:fldChar w:fldCharType="separate"/>
      </w:r>
      <w:hyperlink w:anchor="_Toc116591658" w:history="1">
        <w:r w:rsidRPr="00744F7A">
          <w:rPr>
            <w:rStyle w:val="Hipervnculo"/>
            <w:rFonts w:ascii="Times New Roman" w:hAnsi="Times New Roman" w:cs="Times New Roman"/>
            <w:b/>
            <w:noProof/>
          </w:rPr>
          <w:t>Tabla 1</w:t>
        </w:r>
        <w:r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Matriz de operacionalización de la variable Gestión del Riesgo de Desastres</w:t>
        </w:r>
        <w:r w:rsidRPr="00744F7A">
          <w:rPr>
            <w:rFonts w:ascii="Times New Roman" w:hAnsi="Times New Roman" w:cs="Times New Roman"/>
            <w:noProof/>
            <w:webHidden/>
          </w:rPr>
          <w:tab/>
        </w:r>
        <w:r w:rsidRPr="00744F7A">
          <w:rPr>
            <w:rFonts w:ascii="Times New Roman" w:hAnsi="Times New Roman" w:cs="Times New Roman"/>
            <w:noProof/>
            <w:webHidden/>
          </w:rPr>
          <w:fldChar w:fldCharType="begin"/>
        </w:r>
        <w:r w:rsidRPr="00744F7A">
          <w:rPr>
            <w:rFonts w:ascii="Times New Roman" w:hAnsi="Times New Roman" w:cs="Times New Roman"/>
            <w:noProof/>
            <w:webHidden/>
          </w:rPr>
          <w:instrText xml:space="preserve"> PAGEREF _Toc116591658 \h </w:instrText>
        </w:r>
        <w:r w:rsidRPr="00744F7A">
          <w:rPr>
            <w:rFonts w:ascii="Times New Roman" w:hAnsi="Times New Roman" w:cs="Times New Roman"/>
            <w:noProof/>
            <w:webHidden/>
          </w:rPr>
        </w:r>
        <w:r w:rsidRPr="00744F7A">
          <w:rPr>
            <w:rFonts w:ascii="Times New Roman" w:hAnsi="Times New Roman" w:cs="Times New Roman"/>
            <w:noProof/>
            <w:webHidden/>
          </w:rPr>
          <w:fldChar w:fldCharType="separate"/>
        </w:r>
        <w:r w:rsidR="002D22AA">
          <w:rPr>
            <w:rFonts w:ascii="Times New Roman" w:hAnsi="Times New Roman" w:cs="Times New Roman"/>
            <w:noProof/>
            <w:webHidden/>
          </w:rPr>
          <w:t>65</w:t>
        </w:r>
        <w:r w:rsidRPr="00744F7A">
          <w:rPr>
            <w:rFonts w:ascii="Times New Roman" w:hAnsi="Times New Roman" w:cs="Times New Roman"/>
            <w:noProof/>
            <w:webHidden/>
          </w:rPr>
          <w:fldChar w:fldCharType="end"/>
        </w:r>
      </w:hyperlink>
    </w:p>
    <w:p w14:paraId="4B9B18C4" w14:textId="0988C51C"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59" w:history="1">
        <w:r w:rsidR="00DC5CE4" w:rsidRPr="00744F7A">
          <w:rPr>
            <w:rStyle w:val="Hipervnculo"/>
            <w:rFonts w:ascii="Times New Roman" w:hAnsi="Times New Roman" w:cs="Times New Roman"/>
            <w:b/>
            <w:noProof/>
          </w:rPr>
          <w:t>Tabla 2</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Matriz de operacionalización de la variable Competencia en 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_Toc116591659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68</w:t>
        </w:r>
        <w:r w:rsidR="00DC5CE4" w:rsidRPr="00744F7A">
          <w:rPr>
            <w:rFonts w:ascii="Times New Roman" w:hAnsi="Times New Roman" w:cs="Times New Roman"/>
            <w:noProof/>
            <w:webHidden/>
          </w:rPr>
          <w:fldChar w:fldCharType="end"/>
        </w:r>
      </w:hyperlink>
    </w:p>
    <w:p w14:paraId="1811F16B" w14:textId="6508F9BB"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0" w:history="1">
        <w:r w:rsidR="00DC5CE4" w:rsidRPr="00744F7A">
          <w:rPr>
            <w:rStyle w:val="Hipervnculo"/>
            <w:rFonts w:ascii="Times New Roman" w:hAnsi="Times New Roman" w:cs="Times New Roman"/>
            <w:b/>
            <w:noProof/>
          </w:rPr>
          <w:t>Tabla 3</w:t>
        </w:r>
        <w:r w:rsidR="00DC5CE4" w:rsidRPr="00744F7A">
          <w:rPr>
            <w:rStyle w:val="Hipervnculo"/>
            <w:rFonts w:ascii="Times New Roman" w:eastAsia="Times New Roman" w:hAnsi="Times New Roman" w:cs="Times New Roman"/>
            <w:b/>
            <w:noProof/>
          </w:rPr>
          <w:t>.</w:t>
        </w:r>
        <w:r w:rsidR="00744F7A" w:rsidRPr="00744F7A">
          <w:rPr>
            <w:rStyle w:val="Hipervnculo"/>
            <w:rFonts w:ascii="Times New Roman" w:eastAsia="Times New Roman" w:hAnsi="Times New Roman" w:cs="Times New Roman"/>
            <w:b/>
            <w:noProof/>
          </w:rPr>
          <w:t xml:space="preserve"> </w:t>
        </w:r>
        <w:r w:rsidR="00744F7A" w:rsidRPr="00744F7A">
          <w:rPr>
            <w:rFonts w:ascii="Times New Roman" w:hAnsi="Times New Roman" w:cs="Times New Roman"/>
            <w:noProof/>
          </w:rPr>
          <w:t>Indicadores a evaluar</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_Toc116591660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75</w:t>
        </w:r>
        <w:r w:rsidR="00DC5CE4" w:rsidRPr="00744F7A">
          <w:rPr>
            <w:rFonts w:ascii="Times New Roman" w:hAnsi="Times New Roman" w:cs="Times New Roman"/>
            <w:noProof/>
            <w:webHidden/>
          </w:rPr>
          <w:fldChar w:fldCharType="end"/>
        </w:r>
      </w:hyperlink>
    </w:p>
    <w:p w14:paraId="03676406" w14:textId="47EF1FB8"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1" w:history="1">
        <w:r w:rsidR="00DC5CE4" w:rsidRPr="00744F7A">
          <w:rPr>
            <w:rStyle w:val="Hipervnculo"/>
            <w:rFonts w:ascii="Times New Roman" w:hAnsi="Times New Roman" w:cs="Times New Roman"/>
            <w:b/>
            <w:noProof/>
          </w:rPr>
          <w:t>Tabla 4</w:t>
        </w:r>
        <w:r w:rsidR="00DC5CE4" w:rsidRPr="00744F7A">
          <w:rPr>
            <w:rStyle w:val="Hipervnculo"/>
            <w:rFonts w:ascii="Times New Roman" w:eastAsia="Times New Roman" w:hAnsi="Times New Roman" w:cs="Times New Roman"/>
            <w:b/>
            <w:noProof/>
          </w:rPr>
          <w:t>.</w:t>
        </w:r>
        <w:r w:rsidR="00744F7A" w:rsidRPr="00744F7A">
          <w:rPr>
            <w:rStyle w:val="Hipervnculo"/>
            <w:rFonts w:ascii="Times New Roman" w:eastAsia="Times New Roman" w:hAnsi="Times New Roman" w:cs="Times New Roman"/>
            <w:b/>
            <w:noProof/>
          </w:rPr>
          <w:t xml:space="preserve"> </w:t>
        </w:r>
        <w:r w:rsidR="00744F7A" w:rsidRPr="00744F7A">
          <w:rPr>
            <w:rFonts w:ascii="Times New Roman" w:hAnsi="Times New Roman" w:cs="Times New Roman"/>
            <w:noProof/>
          </w:rPr>
          <w:t>Gestión del Riesgo de Desastres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_Toc116591661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79</w:t>
        </w:r>
        <w:r w:rsidR="00DC5CE4" w:rsidRPr="00744F7A">
          <w:rPr>
            <w:rFonts w:ascii="Times New Roman" w:hAnsi="Times New Roman" w:cs="Times New Roman"/>
            <w:noProof/>
            <w:webHidden/>
          </w:rPr>
          <w:fldChar w:fldCharType="end"/>
        </w:r>
      </w:hyperlink>
    </w:p>
    <w:p w14:paraId="3074FEF7" w14:textId="1D9AA898"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2" w:history="1">
        <w:r w:rsidR="00DC5CE4" w:rsidRPr="00744F7A">
          <w:rPr>
            <w:rStyle w:val="Hipervnculo"/>
            <w:rFonts w:ascii="Times New Roman" w:hAnsi="Times New Roman" w:cs="Times New Roman"/>
            <w:b/>
            <w:noProof/>
          </w:rPr>
          <w:t>Tabla 5</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Proceso de Reducción del Riesgo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_Toc116591662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80</w:t>
        </w:r>
        <w:r w:rsidR="00DC5CE4" w:rsidRPr="00744F7A">
          <w:rPr>
            <w:rFonts w:ascii="Times New Roman" w:hAnsi="Times New Roman" w:cs="Times New Roman"/>
            <w:noProof/>
            <w:webHidden/>
          </w:rPr>
          <w:fldChar w:fldCharType="end"/>
        </w:r>
      </w:hyperlink>
    </w:p>
    <w:p w14:paraId="136619D5" w14:textId="02F551CD"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3" w:history="1">
        <w:r w:rsidR="00DC5CE4" w:rsidRPr="00744F7A">
          <w:rPr>
            <w:rStyle w:val="Hipervnculo"/>
            <w:rFonts w:ascii="Times New Roman" w:hAnsi="Times New Roman" w:cs="Times New Roman"/>
            <w:b/>
            <w:noProof/>
          </w:rPr>
          <w:t>Tabla 6</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Proceso de Preparación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_Toc116591663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81</w:t>
        </w:r>
        <w:r w:rsidR="00DC5CE4" w:rsidRPr="00744F7A">
          <w:rPr>
            <w:rFonts w:ascii="Times New Roman" w:hAnsi="Times New Roman" w:cs="Times New Roman"/>
            <w:noProof/>
            <w:webHidden/>
          </w:rPr>
          <w:fldChar w:fldCharType="end"/>
        </w:r>
      </w:hyperlink>
    </w:p>
    <w:p w14:paraId="4EF9BA86" w14:textId="4A203581"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4" w:history="1">
        <w:r w:rsidR="00DC5CE4" w:rsidRPr="00744F7A">
          <w:rPr>
            <w:rStyle w:val="Hipervnculo"/>
            <w:rFonts w:ascii="Times New Roman" w:hAnsi="Times New Roman" w:cs="Times New Roman"/>
            <w:b/>
            <w:noProof/>
          </w:rPr>
          <w:t>Tabla 7</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Proceso de Respuesta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_Toc116591664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82</w:t>
        </w:r>
        <w:r w:rsidR="00DC5CE4" w:rsidRPr="00744F7A">
          <w:rPr>
            <w:rFonts w:ascii="Times New Roman" w:hAnsi="Times New Roman" w:cs="Times New Roman"/>
            <w:noProof/>
            <w:webHidden/>
          </w:rPr>
          <w:fldChar w:fldCharType="end"/>
        </w:r>
      </w:hyperlink>
    </w:p>
    <w:p w14:paraId="5D757EB8" w14:textId="41620636"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5" w:history="1">
        <w:r w:rsidR="00DC5CE4" w:rsidRPr="00744F7A">
          <w:rPr>
            <w:rStyle w:val="Hipervnculo"/>
            <w:rFonts w:ascii="Times New Roman" w:hAnsi="Times New Roman" w:cs="Times New Roman"/>
            <w:b/>
            <w:noProof/>
          </w:rPr>
          <w:t>Tabla 8</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Competencias del Sector Defensa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_Toc116591665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83</w:t>
        </w:r>
        <w:r w:rsidR="00DC5CE4" w:rsidRPr="00744F7A">
          <w:rPr>
            <w:rFonts w:ascii="Times New Roman" w:hAnsi="Times New Roman" w:cs="Times New Roman"/>
            <w:noProof/>
            <w:webHidden/>
          </w:rPr>
          <w:fldChar w:fldCharType="end"/>
        </w:r>
      </w:hyperlink>
    </w:p>
    <w:p w14:paraId="7F8B4317" w14:textId="3A7D4D58"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6" w:history="1">
        <w:r w:rsidR="00DC5CE4" w:rsidRPr="00744F7A">
          <w:rPr>
            <w:rStyle w:val="Hipervnculo"/>
            <w:rFonts w:ascii="Times New Roman" w:hAnsi="Times New Roman" w:cs="Times New Roman"/>
            <w:b/>
            <w:noProof/>
          </w:rPr>
          <w:t>Tabla 9</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Socialización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_Toc116591666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84</w:t>
        </w:r>
        <w:r w:rsidR="00DC5CE4" w:rsidRPr="00744F7A">
          <w:rPr>
            <w:rFonts w:ascii="Times New Roman" w:hAnsi="Times New Roman" w:cs="Times New Roman"/>
            <w:noProof/>
            <w:webHidden/>
          </w:rPr>
          <w:fldChar w:fldCharType="end"/>
        </w:r>
      </w:hyperlink>
    </w:p>
    <w:p w14:paraId="1C99B8ED" w14:textId="2ED6178A"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7" w:history="1">
        <w:r w:rsidR="00DC5CE4" w:rsidRPr="00744F7A">
          <w:rPr>
            <w:rStyle w:val="Hipervnculo"/>
            <w:rFonts w:ascii="Times New Roman" w:hAnsi="Times New Roman" w:cs="Times New Roman"/>
            <w:b/>
            <w:noProof/>
          </w:rPr>
          <w:t>Tabla 10</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Sensibilización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_Toc116591667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85</w:t>
        </w:r>
        <w:r w:rsidR="00DC5CE4" w:rsidRPr="00744F7A">
          <w:rPr>
            <w:rFonts w:ascii="Times New Roman" w:hAnsi="Times New Roman" w:cs="Times New Roman"/>
            <w:noProof/>
            <w:webHidden/>
          </w:rPr>
          <w:fldChar w:fldCharType="end"/>
        </w:r>
      </w:hyperlink>
    </w:p>
    <w:p w14:paraId="50582168" w14:textId="6F1E34E2"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8" w:history="1">
        <w:r w:rsidR="00DC5CE4" w:rsidRPr="00744F7A">
          <w:rPr>
            <w:rStyle w:val="Hipervnculo"/>
            <w:rFonts w:ascii="Times New Roman" w:hAnsi="Times New Roman" w:cs="Times New Roman"/>
            <w:b/>
            <w:noProof/>
          </w:rPr>
          <w:t>Tabla 11</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Implementación según los funcionarios del Sector Defensa</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_Toc116591668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86</w:t>
        </w:r>
        <w:r w:rsidR="00DC5CE4" w:rsidRPr="00744F7A">
          <w:rPr>
            <w:rFonts w:ascii="Times New Roman" w:hAnsi="Times New Roman" w:cs="Times New Roman"/>
            <w:noProof/>
            <w:webHidden/>
          </w:rPr>
          <w:fldChar w:fldCharType="end"/>
        </w:r>
      </w:hyperlink>
    </w:p>
    <w:p w14:paraId="60066D4B" w14:textId="4705BDE5"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69" w:history="1">
        <w:r w:rsidR="00DC5CE4" w:rsidRPr="00744F7A">
          <w:rPr>
            <w:rStyle w:val="Hipervnculo"/>
            <w:rFonts w:ascii="Times New Roman" w:hAnsi="Times New Roman" w:cs="Times New Roman"/>
            <w:b/>
            <w:noProof/>
          </w:rPr>
          <w:t>Tabla 12</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Prueba de normalidad de las variables</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_Toc116591669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87</w:t>
        </w:r>
        <w:r w:rsidR="00DC5CE4" w:rsidRPr="00744F7A">
          <w:rPr>
            <w:rFonts w:ascii="Times New Roman" w:hAnsi="Times New Roman" w:cs="Times New Roman"/>
            <w:noProof/>
            <w:webHidden/>
          </w:rPr>
          <w:fldChar w:fldCharType="end"/>
        </w:r>
      </w:hyperlink>
    </w:p>
    <w:p w14:paraId="719BC044" w14:textId="7CBFDE0B"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70" w:history="1">
        <w:r w:rsidR="00DC5CE4" w:rsidRPr="00744F7A">
          <w:rPr>
            <w:rStyle w:val="Hipervnculo"/>
            <w:rFonts w:ascii="Times New Roman" w:hAnsi="Times New Roman" w:cs="Times New Roman"/>
            <w:b/>
            <w:noProof/>
          </w:rPr>
          <w:t>Tabla 13</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Interpretación del coeficiente de correlación</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_Toc116591670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87</w:t>
        </w:r>
        <w:r w:rsidR="00DC5CE4" w:rsidRPr="00744F7A">
          <w:rPr>
            <w:rFonts w:ascii="Times New Roman" w:hAnsi="Times New Roman" w:cs="Times New Roman"/>
            <w:noProof/>
            <w:webHidden/>
          </w:rPr>
          <w:fldChar w:fldCharType="end"/>
        </w:r>
      </w:hyperlink>
    </w:p>
    <w:p w14:paraId="7F2BF1BA" w14:textId="568D9E2C"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71" w:history="1">
        <w:r w:rsidR="00DC5CE4" w:rsidRPr="00744F7A">
          <w:rPr>
            <w:rStyle w:val="Hipervnculo"/>
            <w:rFonts w:ascii="Times New Roman" w:hAnsi="Times New Roman" w:cs="Times New Roman"/>
            <w:b/>
            <w:noProof/>
          </w:rPr>
          <w:t>Tabla 14</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Correlación entre las variables de la hipótesis general</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_Toc116591671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88</w:t>
        </w:r>
        <w:r w:rsidR="00DC5CE4" w:rsidRPr="00744F7A">
          <w:rPr>
            <w:rFonts w:ascii="Times New Roman" w:hAnsi="Times New Roman" w:cs="Times New Roman"/>
            <w:noProof/>
            <w:webHidden/>
          </w:rPr>
          <w:fldChar w:fldCharType="end"/>
        </w:r>
      </w:hyperlink>
    </w:p>
    <w:p w14:paraId="53E564AE" w14:textId="392727D5"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72" w:history="1">
        <w:r w:rsidR="00DC5CE4" w:rsidRPr="00744F7A">
          <w:rPr>
            <w:rStyle w:val="Hipervnculo"/>
            <w:rFonts w:ascii="Times New Roman" w:hAnsi="Times New Roman" w:cs="Times New Roman"/>
            <w:b/>
            <w:noProof/>
          </w:rPr>
          <w:t>Tabla 15</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Correlación entre las variables de la hipótesis específica 1</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_Toc116591672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89</w:t>
        </w:r>
        <w:r w:rsidR="00DC5CE4" w:rsidRPr="00744F7A">
          <w:rPr>
            <w:rFonts w:ascii="Times New Roman" w:hAnsi="Times New Roman" w:cs="Times New Roman"/>
            <w:noProof/>
            <w:webHidden/>
          </w:rPr>
          <w:fldChar w:fldCharType="end"/>
        </w:r>
      </w:hyperlink>
    </w:p>
    <w:p w14:paraId="225447A5" w14:textId="00A0C033"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73" w:history="1">
        <w:r w:rsidR="00DC5CE4" w:rsidRPr="00744F7A">
          <w:rPr>
            <w:rStyle w:val="Hipervnculo"/>
            <w:rFonts w:ascii="Times New Roman" w:hAnsi="Times New Roman" w:cs="Times New Roman"/>
            <w:b/>
            <w:noProof/>
          </w:rPr>
          <w:t>Tabla 16</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Correlación entre las variables de la hipótesis específica 2</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_Toc116591673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90</w:t>
        </w:r>
        <w:r w:rsidR="00DC5CE4" w:rsidRPr="00744F7A">
          <w:rPr>
            <w:rFonts w:ascii="Times New Roman" w:hAnsi="Times New Roman" w:cs="Times New Roman"/>
            <w:noProof/>
            <w:webHidden/>
          </w:rPr>
          <w:fldChar w:fldCharType="end"/>
        </w:r>
      </w:hyperlink>
    </w:p>
    <w:p w14:paraId="164D5604" w14:textId="635AC5D1" w:rsidR="00DC5CE4" w:rsidRPr="00744F7A" w:rsidRDefault="000B67FE" w:rsidP="00744F7A">
      <w:pPr>
        <w:pStyle w:val="Tabladeilustraciones"/>
        <w:tabs>
          <w:tab w:val="right" w:pos="7927"/>
        </w:tabs>
        <w:spacing w:after="80"/>
        <w:ind w:left="851" w:hanging="851"/>
        <w:rPr>
          <w:rFonts w:ascii="Times New Roman" w:hAnsi="Times New Roman" w:cs="Times New Roman"/>
          <w:noProof/>
        </w:rPr>
      </w:pPr>
      <w:hyperlink w:anchor="_Toc116591674" w:history="1">
        <w:r w:rsidR="00DC5CE4" w:rsidRPr="00744F7A">
          <w:rPr>
            <w:rStyle w:val="Hipervnculo"/>
            <w:rFonts w:ascii="Times New Roman" w:hAnsi="Times New Roman" w:cs="Times New Roman"/>
            <w:b/>
            <w:noProof/>
          </w:rPr>
          <w:t>Tabla 17</w:t>
        </w:r>
        <w:r w:rsidR="00DC5CE4" w:rsidRPr="00744F7A">
          <w:rPr>
            <w:rStyle w:val="Hipervnculo"/>
            <w:rFonts w:ascii="Times New Roman" w:eastAsia="Times New Roman" w:hAnsi="Times New Roman" w:cs="Times New Roman"/>
            <w:b/>
            <w:noProof/>
          </w:rPr>
          <w:t>.</w:t>
        </w:r>
        <w:r w:rsidR="00744F7A" w:rsidRPr="00744F7A">
          <w:rPr>
            <w:rFonts w:ascii="Times New Roman" w:hAnsi="Times New Roman" w:cs="Times New Roman"/>
            <w:noProof/>
          </w:rPr>
          <w:t xml:space="preserve"> Correlación entre las variables de la hipótesis específica 3</w:t>
        </w:r>
        <w:r w:rsidR="00DC5CE4" w:rsidRPr="00744F7A">
          <w:rPr>
            <w:rFonts w:ascii="Times New Roman" w:hAnsi="Times New Roman" w:cs="Times New Roman"/>
            <w:noProof/>
            <w:webHidden/>
          </w:rPr>
          <w:tab/>
        </w:r>
        <w:r w:rsidR="00DC5CE4" w:rsidRPr="00744F7A">
          <w:rPr>
            <w:rFonts w:ascii="Times New Roman" w:hAnsi="Times New Roman" w:cs="Times New Roman"/>
            <w:noProof/>
            <w:webHidden/>
          </w:rPr>
          <w:fldChar w:fldCharType="begin"/>
        </w:r>
        <w:r w:rsidR="00DC5CE4" w:rsidRPr="00744F7A">
          <w:rPr>
            <w:rFonts w:ascii="Times New Roman" w:hAnsi="Times New Roman" w:cs="Times New Roman"/>
            <w:noProof/>
            <w:webHidden/>
          </w:rPr>
          <w:instrText xml:space="preserve"> PAGEREF _Toc116591674 \h </w:instrText>
        </w:r>
        <w:r w:rsidR="00DC5CE4" w:rsidRPr="00744F7A">
          <w:rPr>
            <w:rFonts w:ascii="Times New Roman" w:hAnsi="Times New Roman" w:cs="Times New Roman"/>
            <w:noProof/>
            <w:webHidden/>
          </w:rPr>
        </w:r>
        <w:r w:rsidR="00DC5CE4" w:rsidRPr="00744F7A">
          <w:rPr>
            <w:rFonts w:ascii="Times New Roman" w:hAnsi="Times New Roman" w:cs="Times New Roman"/>
            <w:noProof/>
            <w:webHidden/>
          </w:rPr>
          <w:fldChar w:fldCharType="separate"/>
        </w:r>
        <w:r w:rsidR="002D22AA">
          <w:rPr>
            <w:rFonts w:ascii="Times New Roman" w:hAnsi="Times New Roman" w:cs="Times New Roman"/>
            <w:noProof/>
            <w:webHidden/>
          </w:rPr>
          <w:t>91</w:t>
        </w:r>
        <w:r w:rsidR="00DC5CE4" w:rsidRPr="00744F7A">
          <w:rPr>
            <w:rFonts w:ascii="Times New Roman" w:hAnsi="Times New Roman" w:cs="Times New Roman"/>
            <w:noProof/>
            <w:webHidden/>
          </w:rPr>
          <w:fldChar w:fldCharType="end"/>
        </w:r>
      </w:hyperlink>
    </w:p>
    <w:p w14:paraId="6D481152" w14:textId="09B4A12B" w:rsidR="00657D48" w:rsidRDefault="00DC5CE4">
      <w:pPr>
        <w:tabs>
          <w:tab w:val="left" w:pos="8222"/>
        </w:tabs>
        <w:spacing w:line="240" w:lineRule="auto"/>
        <w:rPr>
          <w:rFonts w:ascii="Times New Roman" w:eastAsia="Times New Roman" w:hAnsi="Times New Roman" w:cs="Times New Roman"/>
        </w:rPr>
        <w:sectPr w:rsidR="00657D48" w:rsidSect="00B12891">
          <w:pgSz w:w="11906" w:h="16838"/>
          <w:pgMar w:top="1701" w:right="1701" w:bottom="1701" w:left="2268" w:header="709" w:footer="709" w:gutter="0"/>
          <w:pgNumType w:fmt="lowerRoman"/>
          <w:cols w:space="720"/>
          <w:titlePg/>
        </w:sectPr>
      </w:pPr>
      <w:r>
        <w:rPr>
          <w:rFonts w:ascii="Times New Roman" w:eastAsia="Times New Roman" w:hAnsi="Times New Roman" w:cs="Times New Roman"/>
        </w:rPr>
        <w:fldChar w:fldCharType="end"/>
      </w:r>
    </w:p>
    <w:p w14:paraId="00CD5F2B" w14:textId="6E1E52DD" w:rsidR="00657D48" w:rsidRDefault="003F3EEB">
      <w:pPr>
        <w:pStyle w:val="Ttulo1"/>
      </w:pPr>
      <w:bookmarkStart w:id="10" w:name="_Toc117518883"/>
      <w:r>
        <w:lastRenderedPageBreak/>
        <w:t>Índice de figuras</w:t>
      </w:r>
      <w:bookmarkEnd w:id="10"/>
    </w:p>
    <w:sdt>
      <w:sdtPr>
        <w:id w:val="-696859336"/>
        <w:docPartObj>
          <w:docPartGallery w:val="Table of Contents"/>
          <w:docPartUnique/>
        </w:docPartObj>
      </w:sdtPr>
      <w:sdtEndPr/>
      <w:sdtContent>
        <w:p w14:paraId="585B405B" w14:textId="37E071B8" w:rsidR="00DC5CE4" w:rsidRPr="00580146" w:rsidRDefault="00DC5CE4"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r w:rsidRPr="00580146">
            <w:rPr>
              <w:rFonts w:ascii="Times New Roman" w:hAnsi="Times New Roman" w:cs="Times New Roman"/>
            </w:rPr>
            <w:fldChar w:fldCharType="begin"/>
          </w:r>
          <w:r w:rsidRPr="00580146">
            <w:rPr>
              <w:rFonts w:ascii="Times New Roman" w:hAnsi="Times New Roman" w:cs="Times New Roman"/>
            </w:rPr>
            <w:instrText xml:space="preserve"> TOC \h \z \c "Figura" </w:instrText>
          </w:r>
          <w:r w:rsidRPr="00580146">
            <w:rPr>
              <w:rFonts w:ascii="Times New Roman" w:hAnsi="Times New Roman" w:cs="Times New Roman"/>
            </w:rPr>
            <w:fldChar w:fldCharType="separate"/>
          </w:r>
          <w:hyperlink w:anchor="_Toc116591693" w:history="1">
            <w:r w:rsidRPr="00580146">
              <w:rPr>
                <w:rStyle w:val="Hipervnculo"/>
                <w:rFonts w:ascii="Times New Roman" w:hAnsi="Times New Roman" w:cs="Times New Roman"/>
                <w:b/>
                <w:noProof/>
              </w:rPr>
              <w:t>Figura 1</w:t>
            </w:r>
            <w:r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Gestión del Riesgo de Desastres según los funcionarios del Sector Defensa</w:t>
            </w:r>
            <w:r w:rsidRPr="00580146">
              <w:rPr>
                <w:rFonts w:ascii="Times New Roman" w:hAnsi="Times New Roman" w:cs="Times New Roman"/>
                <w:noProof/>
                <w:webHidden/>
              </w:rPr>
              <w:tab/>
            </w:r>
            <w:r w:rsidRPr="00580146">
              <w:rPr>
                <w:rFonts w:ascii="Times New Roman" w:hAnsi="Times New Roman" w:cs="Times New Roman"/>
                <w:noProof/>
                <w:webHidden/>
              </w:rPr>
              <w:fldChar w:fldCharType="begin"/>
            </w:r>
            <w:r w:rsidRPr="00580146">
              <w:rPr>
                <w:rFonts w:ascii="Times New Roman" w:hAnsi="Times New Roman" w:cs="Times New Roman"/>
                <w:noProof/>
                <w:webHidden/>
              </w:rPr>
              <w:instrText xml:space="preserve"> PAGEREF _Toc116591693 \h </w:instrText>
            </w:r>
            <w:r w:rsidRPr="00580146">
              <w:rPr>
                <w:rFonts w:ascii="Times New Roman" w:hAnsi="Times New Roman" w:cs="Times New Roman"/>
                <w:noProof/>
                <w:webHidden/>
              </w:rPr>
            </w:r>
            <w:r w:rsidRPr="00580146">
              <w:rPr>
                <w:rFonts w:ascii="Times New Roman" w:hAnsi="Times New Roman" w:cs="Times New Roman"/>
                <w:noProof/>
                <w:webHidden/>
              </w:rPr>
              <w:fldChar w:fldCharType="separate"/>
            </w:r>
            <w:r w:rsidR="002D22AA">
              <w:rPr>
                <w:rFonts w:ascii="Times New Roman" w:hAnsi="Times New Roman" w:cs="Times New Roman"/>
                <w:noProof/>
                <w:webHidden/>
              </w:rPr>
              <w:t>79</w:t>
            </w:r>
            <w:r w:rsidRPr="00580146">
              <w:rPr>
                <w:rFonts w:ascii="Times New Roman" w:hAnsi="Times New Roman" w:cs="Times New Roman"/>
                <w:noProof/>
                <w:webHidden/>
              </w:rPr>
              <w:fldChar w:fldCharType="end"/>
            </w:r>
          </w:hyperlink>
        </w:p>
        <w:p w14:paraId="3FC0C5E4" w14:textId="5A3383DE"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4" w:history="1">
            <w:r w:rsidR="00DC5CE4" w:rsidRPr="00580146">
              <w:rPr>
                <w:rStyle w:val="Hipervnculo"/>
                <w:rFonts w:ascii="Times New Roman" w:hAnsi="Times New Roman" w:cs="Times New Roman"/>
                <w:b/>
                <w:noProof/>
              </w:rPr>
              <w:t>Figura 2</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Proceso de Reducción del Riesgo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_Toc116591694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80</w:t>
            </w:r>
            <w:r w:rsidR="00DC5CE4" w:rsidRPr="00580146">
              <w:rPr>
                <w:rFonts w:ascii="Times New Roman" w:hAnsi="Times New Roman" w:cs="Times New Roman"/>
                <w:noProof/>
                <w:webHidden/>
              </w:rPr>
              <w:fldChar w:fldCharType="end"/>
            </w:r>
          </w:hyperlink>
        </w:p>
        <w:p w14:paraId="617485B5" w14:textId="6A778E57"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5" w:history="1">
            <w:r w:rsidR="00DC5CE4" w:rsidRPr="00580146">
              <w:rPr>
                <w:rStyle w:val="Hipervnculo"/>
                <w:rFonts w:ascii="Times New Roman" w:hAnsi="Times New Roman" w:cs="Times New Roman"/>
                <w:b/>
                <w:noProof/>
              </w:rPr>
              <w:t>Figura 3</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Proceso de Preparación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_Toc116591695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81</w:t>
            </w:r>
            <w:r w:rsidR="00DC5CE4" w:rsidRPr="00580146">
              <w:rPr>
                <w:rFonts w:ascii="Times New Roman" w:hAnsi="Times New Roman" w:cs="Times New Roman"/>
                <w:noProof/>
                <w:webHidden/>
              </w:rPr>
              <w:fldChar w:fldCharType="end"/>
            </w:r>
          </w:hyperlink>
        </w:p>
        <w:p w14:paraId="4E3A4E57" w14:textId="1A16CEA3"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6" w:history="1">
            <w:r w:rsidR="00DC5CE4" w:rsidRPr="00580146">
              <w:rPr>
                <w:rStyle w:val="Hipervnculo"/>
                <w:rFonts w:ascii="Times New Roman" w:hAnsi="Times New Roman" w:cs="Times New Roman"/>
                <w:b/>
                <w:noProof/>
              </w:rPr>
              <w:t>Figura 4</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Proceso de Respuesta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_Toc116591696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82</w:t>
            </w:r>
            <w:r w:rsidR="00DC5CE4" w:rsidRPr="00580146">
              <w:rPr>
                <w:rFonts w:ascii="Times New Roman" w:hAnsi="Times New Roman" w:cs="Times New Roman"/>
                <w:noProof/>
                <w:webHidden/>
              </w:rPr>
              <w:fldChar w:fldCharType="end"/>
            </w:r>
          </w:hyperlink>
        </w:p>
        <w:p w14:paraId="2DDC346D" w14:textId="03133FEB"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7" w:history="1">
            <w:r w:rsidR="00DC5CE4" w:rsidRPr="00580146">
              <w:rPr>
                <w:rStyle w:val="Hipervnculo"/>
                <w:rFonts w:ascii="Times New Roman" w:hAnsi="Times New Roman" w:cs="Times New Roman"/>
                <w:b/>
                <w:noProof/>
              </w:rPr>
              <w:t>Figura 5</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Competencias del Sector Defensa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_Toc116591697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83</w:t>
            </w:r>
            <w:r w:rsidR="00DC5CE4" w:rsidRPr="00580146">
              <w:rPr>
                <w:rFonts w:ascii="Times New Roman" w:hAnsi="Times New Roman" w:cs="Times New Roman"/>
                <w:noProof/>
                <w:webHidden/>
              </w:rPr>
              <w:fldChar w:fldCharType="end"/>
            </w:r>
          </w:hyperlink>
        </w:p>
        <w:p w14:paraId="73D404BF" w14:textId="396F49D1"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8" w:history="1">
            <w:r w:rsidR="00DC5CE4" w:rsidRPr="00580146">
              <w:rPr>
                <w:rStyle w:val="Hipervnculo"/>
                <w:rFonts w:ascii="Times New Roman" w:hAnsi="Times New Roman" w:cs="Times New Roman"/>
                <w:b/>
                <w:noProof/>
              </w:rPr>
              <w:t>Figura 6</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Socialización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_Toc116591698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84</w:t>
            </w:r>
            <w:r w:rsidR="00DC5CE4" w:rsidRPr="00580146">
              <w:rPr>
                <w:rFonts w:ascii="Times New Roman" w:hAnsi="Times New Roman" w:cs="Times New Roman"/>
                <w:noProof/>
                <w:webHidden/>
              </w:rPr>
              <w:fldChar w:fldCharType="end"/>
            </w:r>
          </w:hyperlink>
        </w:p>
        <w:p w14:paraId="27C71AB6" w14:textId="40110A0F"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699" w:history="1">
            <w:r w:rsidR="00DC5CE4" w:rsidRPr="00580146">
              <w:rPr>
                <w:rStyle w:val="Hipervnculo"/>
                <w:rFonts w:ascii="Times New Roman" w:hAnsi="Times New Roman" w:cs="Times New Roman"/>
                <w:b/>
                <w:noProof/>
              </w:rPr>
              <w:t>Figura 7</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Sensibilización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_Toc116591699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85</w:t>
            </w:r>
            <w:r w:rsidR="00DC5CE4" w:rsidRPr="00580146">
              <w:rPr>
                <w:rFonts w:ascii="Times New Roman" w:hAnsi="Times New Roman" w:cs="Times New Roman"/>
                <w:noProof/>
                <w:webHidden/>
              </w:rPr>
              <w:fldChar w:fldCharType="end"/>
            </w:r>
          </w:hyperlink>
        </w:p>
        <w:p w14:paraId="1C586D65" w14:textId="02D970E8"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700" w:history="1">
            <w:r w:rsidR="00DC5CE4" w:rsidRPr="00580146">
              <w:rPr>
                <w:rStyle w:val="Hipervnculo"/>
                <w:rFonts w:ascii="Times New Roman" w:hAnsi="Times New Roman" w:cs="Times New Roman"/>
                <w:b/>
                <w:noProof/>
              </w:rPr>
              <w:t>Figura 8</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Implementación según los funcionarios del Sector Defensa</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_Toc116591700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86</w:t>
            </w:r>
            <w:r w:rsidR="00DC5CE4" w:rsidRPr="00580146">
              <w:rPr>
                <w:rFonts w:ascii="Times New Roman" w:hAnsi="Times New Roman" w:cs="Times New Roman"/>
                <w:noProof/>
                <w:webHidden/>
              </w:rPr>
              <w:fldChar w:fldCharType="end"/>
            </w:r>
          </w:hyperlink>
        </w:p>
        <w:p w14:paraId="076974CA" w14:textId="5BBA4C4E"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701" w:history="1">
            <w:r w:rsidR="00DC5CE4" w:rsidRPr="00580146">
              <w:rPr>
                <w:rStyle w:val="Hipervnculo"/>
                <w:rFonts w:ascii="Times New Roman" w:hAnsi="Times New Roman" w:cs="Times New Roman"/>
                <w:b/>
                <w:noProof/>
              </w:rPr>
              <w:t>Figura 9</w:t>
            </w:r>
            <w:r w:rsidR="00DC5CE4" w:rsidRPr="00580146">
              <w:rPr>
                <w:rStyle w:val="Hipervnculo"/>
                <w:rFonts w:ascii="Times New Roman" w:eastAsia="Times New Roman" w:hAnsi="Times New Roman" w:cs="Times New Roman"/>
                <w:b/>
                <w:noProof/>
              </w:rPr>
              <w:t>.</w:t>
            </w:r>
            <w:r w:rsidR="00744F7A" w:rsidRPr="00580146">
              <w:rPr>
                <w:rFonts w:ascii="Times New Roman" w:hAnsi="Times New Roman" w:cs="Times New Roman"/>
                <w:noProof/>
              </w:rPr>
              <w:t xml:space="preserve"> </w:t>
            </w:r>
            <w:r w:rsidR="00580146" w:rsidRPr="00580146">
              <w:rPr>
                <w:rFonts w:ascii="Times New Roman" w:hAnsi="Times New Roman" w:cs="Times New Roman"/>
                <w:noProof/>
              </w:rPr>
              <w:t>Correlación entre las variables de la hipótesis general</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_Toc116591701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88</w:t>
            </w:r>
            <w:r w:rsidR="00DC5CE4" w:rsidRPr="00580146">
              <w:rPr>
                <w:rFonts w:ascii="Times New Roman" w:hAnsi="Times New Roman" w:cs="Times New Roman"/>
                <w:noProof/>
                <w:webHidden/>
              </w:rPr>
              <w:fldChar w:fldCharType="end"/>
            </w:r>
          </w:hyperlink>
        </w:p>
        <w:p w14:paraId="73B22C97" w14:textId="5C28CF04"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702" w:history="1">
            <w:r w:rsidR="00DC5CE4" w:rsidRPr="00580146">
              <w:rPr>
                <w:rStyle w:val="Hipervnculo"/>
                <w:rFonts w:ascii="Times New Roman" w:hAnsi="Times New Roman" w:cs="Times New Roman"/>
                <w:b/>
                <w:noProof/>
              </w:rPr>
              <w:t>Figura 10</w:t>
            </w:r>
            <w:r w:rsidR="00DC5CE4" w:rsidRPr="00580146">
              <w:rPr>
                <w:rStyle w:val="Hipervnculo"/>
                <w:rFonts w:ascii="Times New Roman" w:eastAsia="Times New Roman" w:hAnsi="Times New Roman" w:cs="Times New Roman"/>
                <w:b/>
                <w:noProof/>
              </w:rPr>
              <w:t>.</w:t>
            </w:r>
            <w:r w:rsidR="00580146" w:rsidRPr="00580146">
              <w:rPr>
                <w:rFonts w:ascii="Times New Roman" w:hAnsi="Times New Roman" w:cs="Times New Roman"/>
                <w:noProof/>
              </w:rPr>
              <w:t xml:space="preserve"> Dispersión de correlación las variables de la hipótesis específica 1</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_Toc116591702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89</w:t>
            </w:r>
            <w:r w:rsidR="00DC5CE4" w:rsidRPr="00580146">
              <w:rPr>
                <w:rFonts w:ascii="Times New Roman" w:hAnsi="Times New Roman" w:cs="Times New Roman"/>
                <w:noProof/>
                <w:webHidden/>
              </w:rPr>
              <w:fldChar w:fldCharType="end"/>
            </w:r>
          </w:hyperlink>
        </w:p>
        <w:p w14:paraId="15659A70" w14:textId="5EF27A00"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703" w:history="1">
            <w:r w:rsidR="00DC5CE4" w:rsidRPr="00580146">
              <w:rPr>
                <w:rStyle w:val="Hipervnculo"/>
                <w:rFonts w:ascii="Times New Roman" w:hAnsi="Times New Roman" w:cs="Times New Roman"/>
                <w:b/>
                <w:noProof/>
              </w:rPr>
              <w:t>Figura 11</w:t>
            </w:r>
            <w:r w:rsidR="00DC5CE4" w:rsidRPr="00580146">
              <w:rPr>
                <w:rStyle w:val="Hipervnculo"/>
                <w:rFonts w:ascii="Times New Roman" w:eastAsia="Times New Roman" w:hAnsi="Times New Roman" w:cs="Times New Roman"/>
                <w:b/>
                <w:noProof/>
              </w:rPr>
              <w:t>.</w:t>
            </w:r>
            <w:r w:rsidR="00744F7A" w:rsidRPr="00580146">
              <w:rPr>
                <w:rFonts w:ascii="Times New Roman" w:hAnsi="Times New Roman" w:cs="Times New Roman"/>
                <w:noProof/>
              </w:rPr>
              <w:t xml:space="preserve"> Dispersión de correlación las variables de la hipótesis específica 2</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_Toc116591703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90</w:t>
            </w:r>
            <w:r w:rsidR="00DC5CE4" w:rsidRPr="00580146">
              <w:rPr>
                <w:rFonts w:ascii="Times New Roman" w:hAnsi="Times New Roman" w:cs="Times New Roman"/>
                <w:noProof/>
                <w:webHidden/>
              </w:rPr>
              <w:fldChar w:fldCharType="end"/>
            </w:r>
          </w:hyperlink>
        </w:p>
        <w:p w14:paraId="75E27EA5" w14:textId="6D6AA9CF" w:rsidR="00DC5CE4" w:rsidRPr="00580146" w:rsidRDefault="000B67FE" w:rsidP="00580146">
          <w:pPr>
            <w:pStyle w:val="Tabladeilustraciones"/>
            <w:tabs>
              <w:tab w:val="right" w:pos="7927"/>
            </w:tabs>
            <w:spacing w:after="100"/>
            <w:ind w:left="993" w:hanging="993"/>
            <w:rPr>
              <w:rFonts w:ascii="Times New Roman" w:eastAsiaTheme="minorEastAsia" w:hAnsi="Times New Roman" w:cs="Times New Roman"/>
              <w:noProof/>
              <w:sz w:val="22"/>
              <w:szCs w:val="22"/>
            </w:rPr>
          </w:pPr>
          <w:hyperlink w:anchor="_Toc116591704" w:history="1">
            <w:r w:rsidR="00DC5CE4" w:rsidRPr="00580146">
              <w:rPr>
                <w:rStyle w:val="Hipervnculo"/>
                <w:rFonts w:ascii="Times New Roman" w:hAnsi="Times New Roman" w:cs="Times New Roman"/>
                <w:b/>
                <w:noProof/>
              </w:rPr>
              <w:t>Figura 12</w:t>
            </w:r>
            <w:r w:rsidR="00DC5CE4" w:rsidRPr="00580146">
              <w:rPr>
                <w:rStyle w:val="Hipervnculo"/>
                <w:rFonts w:ascii="Times New Roman" w:eastAsia="Times New Roman" w:hAnsi="Times New Roman" w:cs="Times New Roman"/>
                <w:b/>
                <w:noProof/>
              </w:rPr>
              <w:t>.</w:t>
            </w:r>
            <w:r w:rsidR="00744F7A" w:rsidRPr="00580146">
              <w:rPr>
                <w:rFonts w:ascii="Times New Roman" w:hAnsi="Times New Roman" w:cs="Times New Roman"/>
                <w:noProof/>
              </w:rPr>
              <w:t xml:space="preserve"> Dispersión de correlación las variables de la hipótesis específica 3</w:t>
            </w:r>
            <w:r w:rsidR="00DC5CE4" w:rsidRPr="00580146">
              <w:rPr>
                <w:rFonts w:ascii="Times New Roman" w:hAnsi="Times New Roman" w:cs="Times New Roman"/>
                <w:noProof/>
                <w:webHidden/>
              </w:rPr>
              <w:tab/>
            </w:r>
            <w:r w:rsidR="00DC5CE4" w:rsidRPr="00580146">
              <w:rPr>
                <w:rFonts w:ascii="Times New Roman" w:hAnsi="Times New Roman" w:cs="Times New Roman"/>
                <w:noProof/>
                <w:webHidden/>
              </w:rPr>
              <w:fldChar w:fldCharType="begin"/>
            </w:r>
            <w:r w:rsidR="00DC5CE4" w:rsidRPr="00580146">
              <w:rPr>
                <w:rFonts w:ascii="Times New Roman" w:hAnsi="Times New Roman" w:cs="Times New Roman"/>
                <w:noProof/>
                <w:webHidden/>
              </w:rPr>
              <w:instrText xml:space="preserve"> PAGEREF _Toc116591704 \h </w:instrText>
            </w:r>
            <w:r w:rsidR="00DC5CE4" w:rsidRPr="00580146">
              <w:rPr>
                <w:rFonts w:ascii="Times New Roman" w:hAnsi="Times New Roman" w:cs="Times New Roman"/>
                <w:noProof/>
                <w:webHidden/>
              </w:rPr>
            </w:r>
            <w:r w:rsidR="00DC5CE4" w:rsidRPr="00580146">
              <w:rPr>
                <w:rFonts w:ascii="Times New Roman" w:hAnsi="Times New Roman" w:cs="Times New Roman"/>
                <w:noProof/>
                <w:webHidden/>
              </w:rPr>
              <w:fldChar w:fldCharType="separate"/>
            </w:r>
            <w:r w:rsidR="002D22AA">
              <w:rPr>
                <w:rFonts w:ascii="Times New Roman" w:hAnsi="Times New Roman" w:cs="Times New Roman"/>
                <w:noProof/>
                <w:webHidden/>
              </w:rPr>
              <w:t>91</w:t>
            </w:r>
            <w:r w:rsidR="00DC5CE4" w:rsidRPr="00580146">
              <w:rPr>
                <w:rFonts w:ascii="Times New Roman" w:hAnsi="Times New Roman" w:cs="Times New Roman"/>
                <w:noProof/>
                <w:webHidden/>
              </w:rPr>
              <w:fldChar w:fldCharType="end"/>
            </w:r>
          </w:hyperlink>
        </w:p>
        <w:p w14:paraId="61C8A925" w14:textId="316AC475" w:rsidR="00DC5CE4" w:rsidRPr="00580146" w:rsidRDefault="00DC5CE4" w:rsidP="00580146">
          <w:pPr>
            <w:pBdr>
              <w:top w:val="nil"/>
              <w:left w:val="nil"/>
              <w:bottom w:val="nil"/>
              <w:right w:val="nil"/>
              <w:between w:val="nil"/>
            </w:pBdr>
            <w:tabs>
              <w:tab w:val="right" w:pos="9350"/>
            </w:tabs>
            <w:spacing w:after="100"/>
            <w:ind w:left="993" w:hanging="993"/>
            <w:rPr>
              <w:rFonts w:ascii="Times New Roman" w:hAnsi="Times New Roman" w:cs="Times New Roman"/>
            </w:rPr>
          </w:pPr>
          <w:r w:rsidRPr="00580146">
            <w:rPr>
              <w:rFonts w:ascii="Times New Roman" w:hAnsi="Times New Roman" w:cs="Times New Roman"/>
            </w:rPr>
            <w:fldChar w:fldCharType="end"/>
          </w:r>
        </w:p>
        <w:p w14:paraId="24FC622A" w14:textId="08A0A46C" w:rsidR="00657D48" w:rsidRDefault="000B67FE">
          <w:pPr>
            <w:tabs>
              <w:tab w:val="left" w:pos="8222"/>
            </w:tabs>
            <w:spacing w:after="200"/>
            <w:ind w:left="993" w:hanging="993"/>
            <w:rPr>
              <w:rFonts w:ascii="Times New Roman" w:eastAsia="Times New Roman" w:hAnsi="Times New Roman" w:cs="Times New Roman"/>
            </w:rPr>
          </w:pPr>
        </w:p>
      </w:sdtContent>
    </w:sdt>
    <w:p w14:paraId="014EA2A1" w14:textId="77777777" w:rsidR="00657D48" w:rsidRDefault="00657D48">
      <w:pPr>
        <w:tabs>
          <w:tab w:val="left" w:pos="8222"/>
        </w:tabs>
        <w:spacing w:line="240" w:lineRule="auto"/>
        <w:rPr>
          <w:rFonts w:ascii="Times New Roman" w:eastAsia="Times New Roman" w:hAnsi="Times New Roman" w:cs="Times New Roman"/>
        </w:rPr>
        <w:sectPr w:rsidR="00657D48" w:rsidSect="00B12891">
          <w:pgSz w:w="11906" w:h="16838"/>
          <w:pgMar w:top="1701" w:right="1701" w:bottom="1701" w:left="2268" w:header="709" w:footer="709" w:gutter="0"/>
          <w:pgNumType w:fmt="lowerRoman"/>
          <w:cols w:space="720"/>
          <w:titlePg/>
        </w:sectPr>
      </w:pPr>
    </w:p>
    <w:p w14:paraId="40C1A4E6" w14:textId="53C239EC" w:rsidR="00657D48" w:rsidRDefault="003F3EEB">
      <w:pPr>
        <w:pStyle w:val="Ttulo1"/>
      </w:pPr>
      <w:bookmarkStart w:id="11" w:name="_1yyy98l" w:colFirst="0" w:colLast="0"/>
      <w:bookmarkStart w:id="12" w:name="_Toc117518884"/>
      <w:bookmarkEnd w:id="11"/>
      <w:r>
        <w:lastRenderedPageBreak/>
        <w:t>Resumen</w:t>
      </w:r>
      <w:bookmarkEnd w:id="12"/>
    </w:p>
    <w:p w14:paraId="0AFCD28D" w14:textId="40033509" w:rsidR="00B35576" w:rsidRPr="00B35576" w:rsidRDefault="00B35576" w:rsidP="00B35576">
      <w:pPr>
        <w:jc w:val="both"/>
        <w:rPr>
          <w:rFonts w:ascii="Times New Roman" w:eastAsia="Times New Roman" w:hAnsi="Times New Roman" w:cs="Times New Roman"/>
        </w:rPr>
      </w:pPr>
      <w:r w:rsidRPr="00B35576">
        <w:rPr>
          <w:rFonts w:ascii="Times New Roman" w:hAnsi="Times New Roman" w:cs="Times New Roman"/>
        </w:rPr>
        <w:t>El presente estudio se fijó como objetivo determinar si la Gestión del Riesgo de</w:t>
      </w:r>
      <w:r w:rsidRPr="00B35576">
        <w:rPr>
          <w:rFonts w:ascii="Times New Roman" w:hAnsi="Times New Roman" w:cs="Times New Roman"/>
          <w:spacing w:val="1"/>
        </w:rPr>
        <w:t xml:space="preserve"> </w:t>
      </w:r>
      <w:r w:rsidRPr="00B35576">
        <w:rPr>
          <w:rFonts w:ascii="Times New Roman" w:hAnsi="Times New Roman" w:cs="Times New Roman"/>
        </w:rPr>
        <w:t xml:space="preserve">Desastres </w:t>
      </w:r>
      <w:r w:rsidR="00D04B39">
        <w:rPr>
          <w:rFonts w:ascii="Times New Roman" w:hAnsi="Times New Roman" w:cs="Times New Roman"/>
        </w:rPr>
        <w:t>en los procesos de reducción del riesgo, preparación y respuesta</w:t>
      </w:r>
      <w:r w:rsidR="003B112A">
        <w:rPr>
          <w:rFonts w:ascii="Times New Roman" w:hAnsi="Times New Roman" w:cs="Times New Roman"/>
        </w:rPr>
        <w:t xml:space="preserve"> </w:t>
      </w:r>
      <w:r w:rsidRPr="00B35576">
        <w:rPr>
          <w:rFonts w:ascii="Times New Roman" w:hAnsi="Times New Roman" w:cs="Times New Roman"/>
        </w:rPr>
        <w:t>se relaciona</w:t>
      </w:r>
      <w:r w:rsidR="003B112A">
        <w:rPr>
          <w:rFonts w:ascii="Times New Roman" w:hAnsi="Times New Roman" w:cs="Times New Roman"/>
        </w:rPr>
        <w:t>n</w:t>
      </w:r>
      <w:r w:rsidRPr="00B35576">
        <w:rPr>
          <w:rFonts w:ascii="Times New Roman" w:hAnsi="Times New Roman" w:cs="Times New Roman"/>
        </w:rPr>
        <w:t xml:space="preserve"> con las competencias en el Sector Defensa año 2021. La</w:t>
      </w:r>
      <w:r w:rsidRPr="00B35576">
        <w:rPr>
          <w:rFonts w:ascii="Times New Roman" w:hAnsi="Times New Roman" w:cs="Times New Roman"/>
          <w:spacing w:val="1"/>
        </w:rPr>
        <w:t xml:space="preserve"> </w:t>
      </w:r>
      <w:r w:rsidRPr="00B35576">
        <w:rPr>
          <w:rFonts w:ascii="Times New Roman" w:hAnsi="Times New Roman" w:cs="Times New Roman"/>
        </w:rPr>
        <w:t>metodología se caracterizó por ser de enfoque cuantitativo, tipo pura, método</w:t>
      </w:r>
      <w:r w:rsidRPr="00B35576">
        <w:rPr>
          <w:rFonts w:ascii="Times New Roman" w:hAnsi="Times New Roman" w:cs="Times New Roman"/>
          <w:spacing w:val="1"/>
        </w:rPr>
        <w:t xml:space="preserve"> </w:t>
      </w:r>
      <w:r w:rsidRPr="00B35576">
        <w:rPr>
          <w:rFonts w:ascii="Times New Roman" w:hAnsi="Times New Roman" w:cs="Times New Roman"/>
        </w:rPr>
        <w:t>hipotético</w:t>
      </w:r>
      <w:r w:rsidRPr="00B35576">
        <w:rPr>
          <w:rFonts w:ascii="Times New Roman" w:hAnsi="Times New Roman" w:cs="Times New Roman"/>
          <w:spacing w:val="1"/>
        </w:rPr>
        <w:t xml:space="preserve"> </w:t>
      </w:r>
      <w:r w:rsidRPr="00B35576">
        <w:rPr>
          <w:rFonts w:ascii="Times New Roman" w:hAnsi="Times New Roman" w:cs="Times New Roman"/>
        </w:rPr>
        <w:t>deductivo,</w:t>
      </w:r>
      <w:r w:rsidRPr="00B35576">
        <w:rPr>
          <w:rFonts w:ascii="Times New Roman" w:hAnsi="Times New Roman" w:cs="Times New Roman"/>
          <w:spacing w:val="1"/>
        </w:rPr>
        <w:t xml:space="preserve"> </w:t>
      </w:r>
      <w:r w:rsidRPr="00B35576">
        <w:rPr>
          <w:rFonts w:ascii="Times New Roman" w:hAnsi="Times New Roman" w:cs="Times New Roman"/>
        </w:rPr>
        <w:t>diseño</w:t>
      </w:r>
      <w:r w:rsidRPr="00B35576">
        <w:rPr>
          <w:rFonts w:ascii="Times New Roman" w:hAnsi="Times New Roman" w:cs="Times New Roman"/>
          <w:spacing w:val="1"/>
        </w:rPr>
        <w:t xml:space="preserve"> </w:t>
      </w:r>
      <w:r w:rsidRPr="00B35576">
        <w:rPr>
          <w:rFonts w:ascii="Times New Roman" w:hAnsi="Times New Roman" w:cs="Times New Roman"/>
        </w:rPr>
        <w:t>no</w:t>
      </w:r>
      <w:r w:rsidRPr="00B35576">
        <w:rPr>
          <w:rFonts w:ascii="Times New Roman" w:hAnsi="Times New Roman" w:cs="Times New Roman"/>
          <w:spacing w:val="1"/>
        </w:rPr>
        <w:t xml:space="preserve"> </w:t>
      </w:r>
      <w:r w:rsidRPr="00B35576">
        <w:rPr>
          <w:rFonts w:ascii="Times New Roman" w:hAnsi="Times New Roman" w:cs="Times New Roman"/>
        </w:rPr>
        <w:t>experimental</w:t>
      </w:r>
      <w:r w:rsidRPr="00B35576">
        <w:rPr>
          <w:rFonts w:ascii="Times New Roman" w:hAnsi="Times New Roman" w:cs="Times New Roman"/>
          <w:spacing w:val="1"/>
        </w:rPr>
        <w:t xml:space="preserve"> </w:t>
      </w:r>
      <w:r w:rsidRPr="00B35576">
        <w:rPr>
          <w:rFonts w:ascii="Times New Roman" w:hAnsi="Times New Roman" w:cs="Times New Roman"/>
        </w:rPr>
        <w:t>y</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alcance</w:t>
      </w:r>
      <w:r w:rsidRPr="00B35576">
        <w:rPr>
          <w:rFonts w:ascii="Times New Roman" w:hAnsi="Times New Roman" w:cs="Times New Roman"/>
          <w:spacing w:val="1"/>
        </w:rPr>
        <w:t xml:space="preserve"> </w:t>
      </w:r>
      <w:r w:rsidRPr="00B35576">
        <w:rPr>
          <w:rFonts w:ascii="Times New Roman" w:hAnsi="Times New Roman" w:cs="Times New Roman"/>
        </w:rPr>
        <w:t>descriptivo</w:t>
      </w:r>
      <w:r w:rsidRPr="00B35576">
        <w:rPr>
          <w:rFonts w:ascii="Times New Roman" w:hAnsi="Times New Roman" w:cs="Times New Roman"/>
          <w:spacing w:val="1"/>
        </w:rPr>
        <w:t xml:space="preserve"> </w:t>
      </w:r>
      <w:r w:rsidRPr="00B35576">
        <w:rPr>
          <w:rFonts w:ascii="Times New Roman" w:hAnsi="Times New Roman" w:cs="Times New Roman"/>
        </w:rPr>
        <w:t>–</w:t>
      </w:r>
      <w:r w:rsidRPr="00B35576">
        <w:rPr>
          <w:rFonts w:ascii="Times New Roman" w:hAnsi="Times New Roman" w:cs="Times New Roman"/>
          <w:spacing w:val="1"/>
        </w:rPr>
        <w:t xml:space="preserve"> </w:t>
      </w:r>
      <w:r w:rsidRPr="00B35576">
        <w:rPr>
          <w:rFonts w:ascii="Times New Roman" w:hAnsi="Times New Roman" w:cs="Times New Roman"/>
        </w:rPr>
        <w:t>correlacional. Se trabajó con una población de 120.000 profesionales del Sector</w:t>
      </w:r>
      <w:r w:rsidRPr="00B35576">
        <w:rPr>
          <w:rFonts w:ascii="Times New Roman" w:hAnsi="Times New Roman" w:cs="Times New Roman"/>
          <w:spacing w:val="1"/>
        </w:rPr>
        <w:t xml:space="preserve"> </w:t>
      </w:r>
      <w:r w:rsidRPr="00B35576">
        <w:rPr>
          <w:rFonts w:ascii="Times New Roman" w:hAnsi="Times New Roman" w:cs="Times New Roman"/>
        </w:rPr>
        <w:t>Defensa, entre oficiales técnicos, suboficiales y empleados civiles, del cual se</w:t>
      </w:r>
      <w:r w:rsidRPr="00B35576">
        <w:rPr>
          <w:rFonts w:ascii="Times New Roman" w:hAnsi="Times New Roman" w:cs="Times New Roman"/>
          <w:spacing w:val="1"/>
        </w:rPr>
        <w:t xml:space="preserve"> </w:t>
      </w:r>
      <w:r w:rsidRPr="00B35576">
        <w:rPr>
          <w:rFonts w:ascii="Times New Roman" w:hAnsi="Times New Roman" w:cs="Times New Roman"/>
          <w:spacing w:val="-1"/>
        </w:rPr>
        <w:t>extrajo</w:t>
      </w:r>
      <w:r w:rsidRPr="00B35576">
        <w:rPr>
          <w:rFonts w:ascii="Times New Roman" w:hAnsi="Times New Roman" w:cs="Times New Roman"/>
          <w:spacing w:val="-17"/>
        </w:rPr>
        <w:t xml:space="preserve"> </w:t>
      </w:r>
      <w:r w:rsidRPr="00B35576">
        <w:rPr>
          <w:rFonts w:ascii="Times New Roman" w:hAnsi="Times New Roman" w:cs="Times New Roman"/>
          <w:spacing w:val="-1"/>
        </w:rPr>
        <w:t>una</w:t>
      </w:r>
      <w:r w:rsidRPr="00B35576">
        <w:rPr>
          <w:rFonts w:ascii="Times New Roman" w:hAnsi="Times New Roman" w:cs="Times New Roman"/>
          <w:spacing w:val="-15"/>
        </w:rPr>
        <w:t xml:space="preserve"> </w:t>
      </w:r>
      <w:r w:rsidRPr="00B35576">
        <w:rPr>
          <w:rFonts w:ascii="Times New Roman" w:hAnsi="Times New Roman" w:cs="Times New Roman"/>
          <w:spacing w:val="-1"/>
        </w:rPr>
        <w:t>muestra</w:t>
      </w:r>
      <w:r w:rsidRPr="00B35576">
        <w:rPr>
          <w:rFonts w:ascii="Times New Roman" w:hAnsi="Times New Roman" w:cs="Times New Roman"/>
          <w:spacing w:val="-15"/>
        </w:rPr>
        <w:t xml:space="preserve"> </w:t>
      </w:r>
      <w:r w:rsidRPr="00B35576">
        <w:rPr>
          <w:rFonts w:ascii="Times New Roman" w:hAnsi="Times New Roman" w:cs="Times New Roman"/>
          <w:spacing w:val="-1"/>
        </w:rPr>
        <w:t>de</w:t>
      </w:r>
      <w:r w:rsidRPr="00B35576">
        <w:rPr>
          <w:rFonts w:ascii="Times New Roman" w:hAnsi="Times New Roman" w:cs="Times New Roman"/>
          <w:spacing w:val="-15"/>
        </w:rPr>
        <w:t xml:space="preserve"> </w:t>
      </w:r>
      <w:r w:rsidRPr="00B35576">
        <w:rPr>
          <w:rFonts w:ascii="Times New Roman" w:hAnsi="Times New Roman" w:cs="Times New Roman"/>
        </w:rPr>
        <w:t>383</w:t>
      </w:r>
      <w:r w:rsidRPr="00B35576">
        <w:rPr>
          <w:rFonts w:ascii="Times New Roman" w:hAnsi="Times New Roman" w:cs="Times New Roman"/>
          <w:spacing w:val="-17"/>
        </w:rPr>
        <w:t xml:space="preserve"> </w:t>
      </w:r>
      <w:r w:rsidRPr="00B35576">
        <w:rPr>
          <w:rFonts w:ascii="Times New Roman" w:hAnsi="Times New Roman" w:cs="Times New Roman"/>
        </w:rPr>
        <w:t>funcionarios,</w:t>
      </w:r>
      <w:r w:rsidRPr="00B35576">
        <w:rPr>
          <w:rFonts w:ascii="Times New Roman" w:hAnsi="Times New Roman" w:cs="Times New Roman"/>
          <w:spacing w:val="-17"/>
        </w:rPr>
        <w:t xml:space="preserve"> </w:t>
      </w:r>
      <w:r w:rsidRPr="00B35576">
        <w:rPr>
          <w:rFonts w:ascii="Times New Roman" w:hAnsi="Times New Roman" w:cs="Times New Roman"/>
        </w:rPr>
        <w:t>llegando</w:t>
      </w:r>
      <w:r w:rsidRPr="00B35576">
        <w:rPr>
          <w:rFonts w:ascii="Times New Roman" w:hAnsi="Times New Roman" w:cs="Times New Roman"/>
          <w:spacing w:val="-17"/>
        </w:rPr>
        <w:t xml:space="preserve"> </w:t>
      </w:r>
      <w:r w:rsidRPr="00B35576">
        <w:rPr>
          <w:rFonts w:ascii="Times New Roman" w:hAnsi="Times New Roman" w:cs="Times New Roman"/>
        </w:rPr>
        <w:t>a</w:t>
      </w:r>
      <w:r w:rsidRPr="00B35576">
        <w:rPr>
          <w:rFonts w:ascii="Times New Roman" w:hAnsi="Times New Roman" w:cs="Times New Roman"/>
          <w:spacing w:val="-15"/>
        </w:rPr>
        <w:t xml:space="preserve"> </w:t>
      </w:r>
      <w:r w:rsidRPr="00B35576">
        <w:rPr>
          <w:rFonts w:ascii="Times New Roman" w:hAnsi="Times New Roman" w:cs="Times New Roman"/>
        </w:rPr>
        <w:t>utilizarse</w:t>
      </w:r>
      <w:r w:rsidRPr="00B35576">
        <w:rPr>
          <w:rFonts w:ascii="Times New Roman" w:hAnsi="Times New Roman" w:cs="Times New Roman"/>
          <w:spacing w:val="-15"/>
        </w:rPr>
        <w:t xml:space="preserve"> </w:t>
      </w:r>
      <w:r w:rsidRPr="00B35576">
        <w:rPr>
          <w:rFonts w:ascii="Times New Roman" w:hAnsi="Times New Roman" w:cs="Times New Roman"/>
        </w:rPr>
        <w:t>la</w:t>
      </w:r>
      <w:r w:rsidRPr="00B35576">
        <w:rPr>
          <w:rFonts w:ascii="Times New Roman" w:hAnsi="Times New Roman" w:cs="Times New Roman"/>
          <w:spacing w:val="-15"/>
        </w:rPr>
        <w:t xml:space="preserve"> </w:t>
      </w:r>
      <w:r w:rsidRPr="00B35576">
        <w:rPr>
          <w:rFonts w:ascii="Times New Roman" w:hAnsi="Times New Roman" w:cs="Times New Roman"/>
        </w:rPr>
        <w:t>técnica</w:t>
      </w:r>
      <w:r w:rsidRPr="00B35576">
        <w:rPr>
          <w:rFonts w:ascii="Times New Roman" w:hAnsi="Times New Roman" w:cs="Times New Roman"/>
          <w:spacing w:val="-15"/>
        </w:rPr>
        <w:t xml:space="preserve"> </w:t>
      </w:r>
      <w:r w:rsidRPr="00B35576">
        <w:rPr>
          <w:rFonts w:ascii="Times New Roman" w:hAnsi="Times New Roman" w:cs="Times New Roman"/>
        </w:rPr>
        <w:t>de</w:t>
      </w:r>
      <w:r w:rsidRPr="00B35576">
        <w:rPr>
          <w:rFonts w:ascii="Times New Roman" w:hAnsi="Times New Roman" w:cs="Times New Roman"/>
          <w:spacing w:val="-15"/>
        </w:rPr>
        <w:t xml:space="preserve"> </w:t>
      </w:r>
      <w:r w:rsidRPr="00B35576">
        <w:rPr>
          <w:rFonts w:ascii="Times New Roman" w:hAnsi="Times New Roman" w:cs="Times New Roman"/>
        </w:rPr>
        <w:t>encuesta,</w:t>
      </w:r>
      <w:r w:rsidRPr="00B35576">
        <w:rPr>
          <w:rFonts w:ascii="Times New Roman" w:hAnsi="Times New Roman" w:cs="Times New Roman"/>
          <w:spacing w:val="-57"/>
        </w:rPr>
        <w:t xml:space="preserve"> </w:t>
      </w:r>
      <w:r w:rsidRPr="00B35576">
        <w:rPr>
          <w:rFonts w:ascii="Times New Roman" w:hAnsi="Times New Roman" w:cs="Times New Roman"/>
        </w:rPr>
        <w:t>siendo necesario el uso de los cuestionarios como instrumento. Los resultados dan</w:t>
      </w:r>
      <w:r w:rsidRPr="00B35576">
        <w:rPr>
          <w:rFonts w:ascii="Times New Roman" w:hAnsi="Times New Roman" w:cs="Times New Roman"/>
          <w:spacing w:val="-57"/>
        </w:rPr>
        <w:t xml:space="preserve"> </w:t>
      </w:r>
      <w:r w:rsidRPr="00B35576">
        <w:rPr>
          <w:rFonts w:ascii="Times New Roman" w:hAnsi="Times New Roman" w:cs="Times New Roman"/>
        </w:rPr>
        <w:t>cuenta que la Gestión de Riesgo de Desastre es considerada como malo (32.9%) y</w:t>
      </w:r>
      <w:r w:rsidRPr="00B35576">
        <w:rPr>
          <w:rFonts w:ascii="Times New Roman" w:hAnsi="Times New Roman" w:cs="Times New Roman"/>
          <w:spacing w:val="1"/>
        </w:rPr>
        <w:t xml:space="preserve"> </w:t>
      </w:r>
      <w:r w:rsidRPr="00B35576">
        <w:rPr>
          <w:rFonts w:ascii="Times New Roman" w:hAnsi="Times New Roman" w:cs="Times New Roman"/>
        </w:rPr>
        <w:t>regular (39.4%) por los funcionarios encuestados; a la vez que perciben que la</w:t>
      </w:r>
      <w:r w:rsidRPr="00B35576">
        <w:rPr>
          <w:rFonts w:ascii="Times New Roman" w:hAnsi="Times New Roman" w:cs="Times New Roman"/>
          <w:spacing w:val="1"/>
        </w:rPr>
        <w:t xml:space="preserve"> </w:t>
      </w:r>
      <w:r w:rsidRPr="00B35576">
        <w:rPr>
          <w:rFonts w:ascii="Times New Roman" w:hAnsi="Times New Roman" w:cs="Times New Roman"/>
        </w:rPr>
        <w:t>competencia</w:t>
      </w:r>
      <w:r w:rsidRPr="00B35576">
        <w:rPr>
          <w:rFonts w:ascii="Times New Roman" w:hAnsi="Times New Roman" w:cs="Times New Roman"/>
          <w:spacing w:val="-10"/>
        </w:rPr>
        <w:t xml:space="preserve"> </w:t>
      </w:r>
      <w:r w:rsidRPr="00B35576">
        <w:rPr>
          <w:rFonts w:ascii="Times New Roman" w:hAnsi="Times New Roman" w:cs="Times New Roman"/>
        </w:rPr>
        <w:t>del</w:t>
      </w:r>
      <w:r w:rsidRPr="00B35576">
        <w:rPr>
          <w:rFonts w:ascii="Times New Roman" w:hAnsi="Times New Roman" w:cs="Times New Roman"/>
          <w:spacing w:val="-10"/>
        </w:rPr>
        <w:t xml:space="preserve"> </w:t>
      </w:r>
      <w:r w:rsidRPr="00B35576">
        <w:rPr>
          <w:rFonts w:ascii="Times New Roman" w:hAnsi="Times New Roman" w:cs="Times New Roman"/>
        </w:rPr>
        <w:t>Sector</w:t>
      </w:r>
      <w:r w:rsidRPr="00B35576">
        <w:rPr>
          <w:rFonts w:ascii="Times New Roman" w:hAnsi="Times New Roman" w:cs="Times New Roman"/>
          <w:spacing w:val="-10"/>
        </w:rPr>
        <w:t xml:space="preserve"> </w:t>
      </w:r>
      <w:r w:rsidRPr="00B35576">
        <w:rPr>
          <w:rFonts w:ascii="Times New Roman" w:hAnsi="Times New Roman" w:cs="Times New Roman"/>
        </w:rPr>
        <w:t>Defensa</w:t>
      </w:r>
      <w:r w:rsidRPr="00B35576">
        <w:rPr>
          <w:rFonts w:ascii="Times New Roman" w:hAnsi="Times New Roman" w:cs="Times New Roman"/>
          <w:spacing w:val="-14"/>
        </w:rPr>
        <w:t xml:space="preserve"> </w:t>
      </w:r>
      <w:r w:rsidRPr="00B35576">
        <w:rPr>
          <w:rFonts w:ascii="Times New Roman" w:hAnsi="Times New Roman" w:cs="Times New Roman"/>
        </w:rPr>
        <w:t>ante</w:t>
      </w:r>
      <w:r w:rsidRPr="00B35576">
        <w:rPr>
          <w:rFonts w:ascii="Times New Roman" w:hAnsi="Times New Roman" w:cs="Times New Roman"/>
          <w:spacing w:val="-10"/>
        </w:rPr>
        <w:t xml:space="preserve"> </w:t>
      </w:r>
      <w:r w:rsidRPr="00B35576">
        <w:rPr>
          <w:rFonts w:ascii="Times New Roman" w:hAnsi="Times New Roman" w:cs="Times New Roman"/>
        </w:rPr>
        <w:t>desastres</w:t>
      </w:r>
      <w:r w:rsidRPr="00B35576">
        <w:rPr>
          <w:rFonts w:ascii="Times New Roman" w:hAnsi="Times New Roman" w:cs="Times New Roman"/>
          <w:spacing w:val="-12"/>
        </w:rPr>
        <w:t xml:space="preserve"> </w:t>
      </w:r>
      <w:r w:rsidRPr="00B35576">
        <w:rPr>
          <w:rFonts w:ascii="Times New Roman" w:hAnsi="Times New Roman" w:cs="Times New Roman"/>
        </w:rPr>
        <w:t>es</w:t>
      </w:r>
      <w:r w:rsidRPr="00B35576">
        <w:rPr>
          <w:rFonts w:ascii="Times New Roman" w:hAnsi="Times New Roman" w:cs="Times New Roman"/>
          <w:spacing w:val="-13"/>
        </w:rPr>
        <w:t xml:space="preserve"> </w:t>
      </w:r>
      <w:r w:rsidRPr="00B35576">
        <w:rPr>
          <w:rFonts w:ascii="Times New Roman" w:hAnsi="Times New Roman" w:cs="Times New Roman"/>
        </w:rPr>
        <w:t>entre</w:t>
      </w:r>
      <w:r w:rsidRPr="00B35576">
        <w:rPr>
          <w:rFonts w:ascii="Times New Roman" w:hAnsi="Times New Roman" w:cs="Times New Roman"/>
          <w:spacing w:val="-9"/>
        </w:rPr>
        <w:t xml:space="preserve"> </w:t>
      </w:r>
      <w:r w:rsidRPr="00B35576">
        <w:rPr>
          <w:rFonts w:ascii="Times New Roman" w:hAnsi="Times New Roman" w:cs="Times New Roman"/>
        </w:rPr>
        <w:t>deficiente</w:t>
      </w:r>
      <w:r w:rsidRPr="00B35576">
        <w:rPr>
          <w:rFonts w:ascii="Times New Roman" w:hAnsi="Times New Roman" w:cs="Times New Roman"/>
          <w:spacing w:val="-10"/>
        </w:rPr>
        <w:t xml:space="preserve"> </w:t>
      </w:r>
      <w:r w:rsidRPr="00B35576">
        <w:rPr>
          <w:rFonts w:ascii="Times New Roman" w:hAnsi="Times New Roman" w:cs="Times New Roman"/>
        </w:rPr>
        <w:t>(32.6%)</w:t>
      </w:r>
      <w:r w:rsidRPr="00B35576">
        <w:rPr>
          <w:rFonts w:ascii="Times New Roman" w:hAnsi="Times New Roman" w:cs="Times New Roman"/>
          <w:spacing w:val="-11"/>
        </w:rPr>
        <w:t xml:space="preserve"> </w:t>
      </w:r>
      <w:r w:rsidRPr="00B35576">
        <w:rPr>
          <w:rFonts w:ascii="Times New Roman" w:hAnsi="Times New Roman" w:cs="Times New Roman"/>
        </w:rPr>
        <w:t>y</w:t>
      </w:r>
      <w:r w:rsidRPr="00B35576">
        <w:rPr>
          <w:rFonts w:ascii="Times New Roman" w:hAnsi="Times New Roman" w:cs="Times New Roman"/>
          <w:spacing w:val="-14"/>
        </w:rPr>
        <w:t xml:space="preserve"> </w:t>
      </w:r>
      <w:r w:rsidRPr="00B35576">
        <w:rPr>
          <w:rFonts w:ascii="Times New Roman" w:hAnsi="Times New Roman" w:cs="Times New Roman"/>
        </w:rPr>
        <w:t>regular</w:t>
      </w:r>
      <w:r w:rsidRPr="00B35576">
        <w:rPr>
          <w:rFonts w:ascii="Times New Roman" w:hAnsi="Times New Roman" w:cs="Times New Roman"/>
          <w:spacing w:val="-58"/>
        </w:rPr>
        <w:t xml:space="preserve"> </w:t>
      </w:r>
      <w:r w:rsidRPr="00B35576">
        <w:rPr>
          <w:rFonts w:ascii="Times New Roman" w:hAnsi="Times New Roman" w:cs="Times New Roman"/>
        </w:rPr>
        <w:t>(38.9%).</w:t>
      </w:r>
      <w:r w:rsidRPr="00B35576">
        <w:rPr>
          <w:rFonts w:ascii="Times New Roman" w:hAnsi="Times New Roman" w:cs="Times New Roman"/>
          <w:spacing w:val="1"/>
        </w:rPr>
        <w:t xml:space="preserve"> </w:t>
      </w:r>
      <w:r w:rsidRPr="00B35576">
        <w:rPr>
          <w:rFonts w:ascii="Times New Roman" w:hAnsi="Times New Roman" w:cs="Times New Roman"/>
        </w:rPr>
        <w:t>Al</w:t>
      </w:r>
      <w:r w:rsidRPr="00B35576">
        <w:rPr>
          <w:rFonts w:ascii="Times New Roman" w:hAnsi="Times New Roman" w:cs="Times New Roman"/>
          <w:spacing w:val="1"/>
        </w:rPr>
        <w:t xml:space="preserve"> </w:t>
      </w:r>
      <w:r w:rsidRPr="00B35576">
        <w:rPr>
          <w:rFonts w:ascii="Times New Roman" w:hAnsi="Times New Roman" w:cs="Times New Roman"/>
        </w:rPr>
        <w:t>realizar</w:t>
      </w:r>
      <w:r w:rsidRPr="00B35576">
        <w:rPr>
          <w:rFonts w:ascii="Times New Roman" w:hAnsi="Times New Roman" w:cs="Times New Roman"/>
          <w:spacing w:val="1"/>
        </w:rPr>
        <w:t xml:space="preserve"> </w:t>
      </w:r>
      <w:r w:rsidRPr="00B35576">
        <w:rPr>
          <w:rFonts w:ascii="Times New Roman" w:hAnsi="Times New Roman" w:cs="Times New Roman"/>
        </w:rPr>
        <w:t>la</w:t>
      </w:r>
      <w:r w:rsidRPr="00B35576">
        <w:rPr>
          <w:rFonts w:ascii="Times New Roman" w:hAnsi="Times New Roman" w:cs="Times New Roman"/>
          <w:spacing w:val="1"/>
        </w:rPr>
        <w:t xml:space="preserve"> </w:t>
      </w:r>
      <w:r w:rsidRPr="00B35576">
        <w:rPr>
          <w:rFonts w:ascii="Times New Roman" w:hAnsi="Times New Roman" w:cs="Times New Roman"/>
        </w:rPr>
        <w:t>prueba</w:t>
      </w:r>
      <w:r w:rsidRPr="00B35576">
        <w:rPr>
          <w:rFonts w:ascii="Times New Roman" w:hAnsi="Times New Roman" w:cs="Times New Roman"/>
          <w:spacing w:val="1"/>
        </w:rPr>
        <w:t xml:space="preserve"> </w:t>
      </w:r>
      <w:r w:rsidRPr="00B35576">
        <w:rPr>
          <w:rFonts w:ascii="Times New Roman" w:hAnsi="Times New Roman" w:cs="Times New Roman"/>
        </w:rPr>
        <w:t>inferencial</w:t>
      </w:r>
      <w:r w:rsidRPr="00B35576">
        <w:rPr>
          <w:rFonts w:ascii="Times New Roman" w:hAnsi="Times New Roman" w:cs="Times New Roman"/>
          <w:spacing w:val="1"/>
        </w:rPr>
        <w:t xml:space="preserve"> </w:t>
      </w:r>
      <w:r w:rsidRPr="00B35576">
        <w:rPr>
          <w:rFonts w:ascii="Times New Roman" w:hAnsi="Times New Roman" w:cs="Times New Roman"/>
        </w:rPr>
        <w:t>mediante</w:t>
      </w:r>
      <w:r w:rsidRPr="00B35576">
        <w:rPr>
          <w:rFonts w:ascii="Times New Roman" w:hAnsi="Times New Roman" w:cs="Times New Roman"/>
          <w:spacing w:val="1"/>
        </w:rPr>
        <w:t xml:space="preserve"> </w:t>
      </w:r>
      <w:r w:rsidRPr="00B35576">
        <w:rPr>
          <w:rFonts w:ascii="Times New Roman" w:hAnsi="Times New Roman" w:cs="Times New Roman"/>
        </w:rPr>
        <w:t>el</w:t>
      </w:r>
      <w:r w:rsidRPr="00B35576">
        <w:rPr>
          <w:rFonts w:ascii="Times New Roman" w:hAnsi="Times New Roman" w:cs="Times New Roman"/>
          <w:spacing w:val="1"/>
        </w:rPr>
        <w:t xml:space="preserve"> </w:t>
      </w:r>
      <w:r w:rsidRPr="00B35576">
        <w:rPr>
          <w:rFonts w:ascii="Times New Roman" w:hAnsi="Times New Roman" w:cs="Times New Roman"/>
        </w:rPr>
        <w:t>estadístico</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Rho</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57"/>
        </w:rPr>
        <w:t xml:space="preserve"> </w:t>
      </w:r>
      <w:r w:rsidRPr="00B35576">
        <w:rPr>
          <w:rFonts w:ascii="Times New Roman" w:hAnsi="Times New Roman" w:cs="Times New Roman"/>
        </w:rPr>
        <w:t>Spe</w:t>
      </w:r>
      <w:r w:rsidR="003B112A">
        <w:rPr>
          <w:rFonts w:ascii="Times New Roman" w:hAnsi="Times New Roman" w:cs="Times New Roman"/>
        </w:rPr>
        <w:t>a</w:t>
      </w:r>
      <w:r w:rsidRPr="00B35576">
        <w:rPr>
          <w:rFonts w:ascii="Times New Roman" w:hAnsi="Times New Roman" w:cs="Times New Roman"/>
        </w:rPr>
        <w:t xml:space="preserve">rman, se halló un p valor de 0.000 y un coeficiente de </w:t>
      </w:r>
      <w:r w:rsidR="003B112A">
        <w:rPr>
          <w:rFonts w:ascii="Times New Roman" w:hAnsi="Times New Roman" w:cs="Times New Roman"/>
        </w:rPr>
        <w:t>0.</w:t>
      </w:r>
      <w:r w:rsidRPr="00B35576">
        <w:rPr>
          <w:rFonts w:ascii="Times New Roman" w:hAnsi="Times New Roman" w:cs="Times New Roman"/>
        </w:rPr>
        <w:t>636, correspondiente a</w:t>
      </w:r>
      <w:r w:rsidRPr="00B35576">
        <w:rPr>
          <w:rFonts w:ascii="Times New Roman" w:hAnsi="Times New Roman" w:cs="Times New Roman"/>
          <w:spacing w:val="1"/>
        </w:rPr>
        <w:t xml:space="preserve"> </w:t>
      </w:r>
      <w:r w:rsidRPr="00B35576">
        <w:rPr>
          <w:rFonts w:ascii="Times New Roman" w:hAnsi="Times New Roman" w:cs="Times New Roman"/>
        </w:rPr>
        <w:t>una relación de tipo positiva y de grado fuerte. En consecuencia, se concluyó que</w:t>
      </w:r>
      <w:r w:rsidRPr="00B35576">
        <w:rPr>
          <w:rFonts w:ascii="Times New Roman" w:hAnsi="Times New Roman" w:cs="Times New Roman"/>
          <w:spacing w:val="1"/>
        </w:rPr>
        <w:t xml:space="preserve"> </w:t>
      </w:r>
      <w:r w:rsidRPr="00B35576">
        <w:rPr>
          <w:rFonts w:ascii="Times New Roman" w:hAnsi="Times New Roman" w:cs="Times New Roman"/>
        </w:rPr>
        <w:t>existe relación estadísticamente significativa, de tipo positiva y de grado fuerte</w:t>
      </w:r>
      <w:r w:rsidRPr="00B35576">
        <w:rPr>
          <w:rFonts w:ascii="Times New Roman" w:hAnsi="Times New Roman" w:cs="Times New Roman"/>
          <w:spacing w:val="1"/>
        </w:rPr>
        <w:t xml:space="preserve"> </w:t>
      </w:r>
      <w:r w:rsidRPr="00B35576">
        <w:rPr>
          <w:rFonts w:ascii="Times New Roman" w:hAnsi="Times New Roman" w:cs="Times New Roman"/>
        </w:rPr>
        <w:t>entre la Gestión de Riesgo de Desastre</w:t>
      </w:r>
      <w:r w:rsidR="003B112A">
        <w:rPr>
          <w:rFonts w:ascii="Times New Roman" w:hAnsi="Times New Roman" w:cs="Times New Roman"/>
        </w:rPr>
        <w:t>s</w:t>
      </w:r>
      <w:r w:rsidR="003B112A" w:rsidRPr="003B112A">
        <w:rPr>
          <w:rFonts w:ascii="Times New Roman" w:hAnsi="Times New Roman" w:cs="Times New Roman"/>
        </w:rPr>
        <w:t xml:space="preserve"> </w:t>
      </w:r>
      <w:r w:rsidR="003B112A">
        <w:rPr>
          <w:rFonts w:ascii="Times New Roman" w:hAnsi="Times New Roman" w:cs="Times New Roman"/>
        </w:rPr>
        <w:t>en los procesos de reducción del riesgo, preparación y respuesta</w:t>
      </w:r>
      <w:r w:rsidRPr="00B35576">
        <w:rPr>
          <w:rFonts w:ascii="Times New Roman" w:hAnsi="Times New Roman" w:cs="Times New Roman"/>
        </w:rPr>
        <w:t xml:space="preserve"> y la competencia del Sector Defensa en el</w:t>
      </w:r>
      <w:r w:rsidRPr="00B35576">
        <w:rPr>
          <w:rFonts w:ascii="Times New Roman" w:hAnsi="Times New Roman" w:cs="Times New Roman"/>
          <w:spacing w:val="1"/>
        </w:rPr>
        <w:t xml:space="preserve"> </w:t>
      </w:r>
      <w:r w:rsidRPr="00B35576">
        <w:rPr>
          <w:rFonts w:ascii="Times New Roman" w:hAnsi="Times New Roman" w:cs="Times New Roman"/>
        </w:rPr>
        <w:t>año 2021.</w:t>
      </w:r>
    </w:p>
    <w:p w14:paraId="350E91D1" w14:textId="77777777" w:rsidR="00B35576" w:rsidRDefault="00B35576">
      <w:pPr>
        <w:jc w:val="both"/>
        <w:rPr>
          <w:rFonts w:ascii="Times New Roman" w:eastAsia="Times New Roman" w:hAnsi="Times New Roman" w:cs="Times New Roman"/>
        </w:rPr>
      </w:pPr>
    </w:p>
    <w:p w14:paraId="2A567D81" w14:textId="3CF9AAD4" w:rsidR="00657D48" w:rsidRPr="00F71509" w:rsidRDefault="003F3EEB">
      <w:pPr>
        <w:jc w:val="both"/>
        <w:rPr>
          <w:rFonts w:ascii="Times New Roman" w:eastAsia="Times New Roman" w:hAnsi="Times New Roman" w:cs="Times New Roman"/>
        </w:rPr>
      </w:pPr>
      <w:r>
        <w:rPr>
          <w:rFonts w:ascii="Times New Roman" w:eastAsia="Times New Roman" w:hAnsi="Times New Roman" w:cs="Times New Roman"/>
          <w:b/>
        </w:rPr>
        <w:t>Palabras clave</w:t>
      </w:r>
      <w:r w:rsidRPr="00F71509">
        <w:rPr>
          <w:rFonts w:ascii="Times New Roman" w:eastAsia="Times New Roman" w:hAnsi="Times New Roman" w:cs="Times New Roman"/>
          <w:b/>
        </w:rPr>
        <w:t>:</w:t>
      </w:r>
      <w:r w:rsidRPr="00F71509">
        <w:rPr>
          <w:rFonts w:ascii="Times New Roman" w:eastAsia="Times New Roman" w:hAnsi="Times New Roman" w:cs="Times New Roman"/>
        </w:rPr>
        <w:t xml:space="preserve"> </w:t>
      </w:r>
      <w:r w:rsidR="00B35576" w:rsidRPr="00B35576">
        <w:rPr>
          <w:rFonts w:ascii="Times New Roman" w:eastAsia="Times New Roman" w:hAnsi="Times New Roman" w:cs="Times New Roman"/>
          <w:lang w:val="es-ES"/>
        </w:rPr>
        <w:t>Gestión del riesgo de desastre, competencias, defensa</w:t>
      </w:r>
      <w:r w:rsidRPr="00F71509">
        <w:rPr>
          <w:rFonts w:ascii="Times New Roman" w:eastAsia="Times New Roman" w:hAnsi="Times New Roman" w:cs="Times New Roman"/>
        </w:rPr>
        <w:t>.</w:t>
      </w:r>
    </w:p>
    <w:p w14:paraId="53197D1A" w14:textId="77777777" w:rsidR="00657D48" w:rsidRPr="00F71509" w:rsidRDefault="00657D48">
      <w:pPr>
        <w:sectPr w:rsidR="00657D48" w:rsidRPr="00F71509" w:rsidSect="00B12891">
          <w:pgSz w:w="11906" w:h="16838"/>
          <w:pgMar w:top="1701" w:right="1701" w:bottom="1701" w:left="2268" w:header="709" w:footer="709" w:gutter="0"/>
          <w:pgNumType w:fmt="lowerRoman"/>
          <w:cols w:space="720"/>
          <w:titlePg/>
        </w:sectPr>
      </w:pPr>
    </w:p>
    <w:p w14:paraId="13E133FA" w14:textId="537D0D5C" w:rsidR="00657D48" w:rsidRPr="00F71509" w:rsidRDefault="003F3EEB">
      <w:pPr>
        <w:pStyle w:val="Ttulo1"/>
        <w:rPr>
          <w:lang w:val="en-US"/>
        </w:rPr>
      </w:pPr>
      <w:bookmarkStart w:id="13" w:name="_4iylrwe" w:colFirst="0" w:colLast="0"/>
      <w:bookmarkStart w:id="14" w:name="_Toc117518885"/>
      <w:bookmarkEnd w:id="13"/>
      <w:r w:rsidRPr="00F71509">
        <w:rPr>
          <w:lang w:val="en-US"/>
        </w:rPr>
        <w:lastRenderedPageBreak/>
        <w:t>Abstract</w:t>
      </w:r>
      <w:bookmarkEnd w:id="14"/>
    </w:p>
    <w:p w14:paraId="4193B604" w14:textId="6BBBF214" w:rsidR="00657D48" w:rsidRPr="00F71509" w:rsidRDefault="00B35576">
      <w:pPr>
        <w:tabs>
          <w:tab w:val="left" w:pos="8222"/>
        </w:tabs>
        <w:jc w:val="both"/>
        <w:rPr>
          <w:rFonts w:ascii="Times New Roman" w:eastAsia="Times New Roman" w:hAnsi="Times New Roman" w:cs="Times New Roman"/>
          <w:lang w:val="en-US"/>
        </w:rPr>
      </w:pPr>
      <w:r w:rsidRPr="00B35576">
        <w:rPr>
          <w:rFonts w:ascii="Times New Roman" w:eastAsia="Times New Roman" w:hAnsi="Times New Roman" w:cs="Times New Roman"/>
          <w:lang w:val="en-US"/>
        </w:rPr>
        <w:t>The aim of this study was to determine whether disaster risk management is related to competences in the Defence Sector in the year 2021. The methodology was characterized by its quantitative approach, pure type, hypothetical-deductive method, non-experimental design and descriptive-correlational scope. We worked with a population of 120,000 professionals in the Defence Sector, including technical officers, non-commissioned officers and civilian employees, from which a sample of 383 civil servants was drawn, using the survey technique, with the use of questionnaires as an instrument. The results show that disaster risk management is considered to be poor (32.9%) and fair (39.4%) by the civil servants surveyed; at the same time, they perceive the competencies of the disaster Defence Sector to be between deficient (32.6%) and fair (38.9%). An inferential test using Spearman’s Rho statistic found a p-value of 0.000 and a coefficient of 636, corresponding to a strong positive relationship. Consequently, it was concluded that there is a statistically significant, positive and strong relationship between disaster risk management and the competence of the Defence Sector in the year 2021.</w:t>
      </w:r>
    </w:p>
    <w:p w14:paraId="5ABA9A22" w14:textId="4C0CA72E" w:rsidR="00657D48" w:rsidRPr="00F71509" w:rsidRDefault="003F3EEB">
      <w:pPr>
        <w:tabs>
          <w:tab w:val="left" w:pos="8222"/>
        </w:tabs>
        <w:jc w:val="both"/>
        <w:rPr>
          <w:rFonts w:ascii="Times New Roman" w:eastAsia="Times New Roman" w:hAnsi="Times New Roman" w:cs="Times New Roman"/>
          <w:lang w:val="en-US"/>
        </w:rPr>
        <w:sectPr w:rsidR="00657D48" w:rsidRPr="00F71509" w:rsidSect="00B12891">
          <w:pgSz w:w="11906" w:h="16838"/>
          <w:pgMar w:top="1701" w:right="1701" w:bottom="1701" w:left="2268" w:header="709" w:footer="709" w:gutter="0"/>
          <w:pgNumType w:fmt="lowerRoman"/>
          <w:cols w:space="720"/>
          <w:titlePg/>
        </w:sectPr>
      </w:pPr>
      <w:r w:rsidRPr="00F71509">
        <w:rPr>
          <w:rFonts w:ascii="Times New Roman" w:eastAsia="Times New Roman" w:hAnsi="Times New Roman" w:cs="Times New Roman"/>
          <w:b/>
          <w:lang w:val="en-US"/>
        </w:rPr>
        <w:t>Keywords:</w:t>
      </w:r>
      <w:r w:rsidRPr="00F71509">
        <w:rPr>
          <w:rFonts w:ascii="Times New Roman" w:eastAsia="Times New Roman" w:hAnsi="Times New Roman" w:cs="Times New Roman"/>
          <w:lang w:val="en-US"/>
        </w:rPr>
        <w:t xml:space="preserve"> </w:t>
      </w:r>
      <w:r w:rsidR="00B35576" w:rsidRPr="00B35576">
        <w:rPr>
          <w:rFonts w:ascii="Times New Roman" w:eastAsia="Times New Roman" w:hAnsi="Times New Roman" w:cs="Times New Roman"/>
          <w:lang w:val="en-US"/>
        </w:rPr>
        <w:t>Disaster Risk Management, competencies, defence</w:t>
      </w:r>
      <w:r w:rsidRPr="00F71509">
        <w:rPr>
          <w:rFonts w:ascii="Times New Roman" w:eastAsia="Times New Roman" w:hAnsi="Times New Roman" w:cs="Times New Roman"/>
          <w:lang w:val="en-US"/>
        </w:rPr>
        <w:t>.</w:t>
      </w:r>
    </w:p>
    <w:p w14:paraId="43B7ECA8" w14:textId="39B7F433" w:rsidR="00657D48" w:rsidRDefault="003F3EEB">
      <w:pPr>
        <w:pStyle w:val="Ttulo1"/>
      </w:pPr>
      <w:bookmarkStart w:id="15" w:name="_2y3w247" w:colFirst="0" w:colLast="0"/>
      <w:bookmarkStart w:id="16" w:name="_Toc117518886"/>
      <w:bookmarkEnd w:id="15"/>
      <w:r>
        <w:lastRenderedPageBreak/>
        <w:t>Introducción</w:t>
      </w:r>
      <w:bookmarkEnd w:id="16"/>
    </w:p>
    <w:p w14:paraId="6DC05A3A" w14:textId="4297F5C2" w:rsidR="00B35576" w:rsidRPr="00B35576" w:rsidRDefault="00B35576" w:rsidP="00B35576">
      <w:pPr>
        <w:pBdr>
          <w:top w:val="nil"/>
          <w:left w:val="nil"/>
          <w:bottom w:val="nil"/>
          <w:right w:val="nil"/>
          <w:between w:val="nil"/>
        </w:pBdr>
        <w:spacing w:after="200"/>
        <w:ind w:firstLine="567"/>
        <w:jc w:val="both"/>
        <w:rPr>
          <w:rFonts w:ascii="Times New Roman" w:hAnsi="Times New Roman" w:cs="Times New Roman"/>
        </w:rPr>
      </w:pPr>
      <w:r w:rsidRPr="00B35576">
        <w:rPr>
          <w:rFonts w:ascii="Times New Roman" w:hAnsi="Times New Roman" w:cs="Times New Roman"/>
        </w:rPr>
        <w:t>Uno de los principales desafíos que tiene el país es estar preparado ante los</w:t>
      </w:r>
      <w:r w:rsidRPr="00B35576">
        <w:rPr>
          <w:rFonts w:ascii="Times New Roman" w:hAnsi="Times New Roman" w:cs="Times New Roman"/>
          <w:spacing w:val="1"/>
        </w:rPr>
        <w:t xml:space="preserve"> </w:t>
      </w:r>
      <w:r w:rsidRPr="00B35576">
        <w:rPr>
          <w:rFonts w:ascii="Times New Roman" w:hAnsi="Times New Roman" w:cs="Times New Roman"/>
        </w:rPr>
        <w:t xml:space="preserve">fenómenos naturales. En el Perú, </w:t>
      </w:r>
      <w:r w:rsidR="008D2841">
        <w:rPr>
          <w:rFonts w:ascii="Times New Roman" w:hAnsi="Times New Roman" w:cs="Times New Roman"/>
        </w:rPr>
        <w:t xml:space="preserve">se </w:t>
      </w:r>
      <w:r w:rsidRPr="00B35576">
        <w:rPr>
          <w:rFonts w:ascii="Times New Roman" w:hAnsi="Times New Roman" w:cs="Times New Roman"/>
        </w:rPr>
        <w:t>viene</w:t>
      </w:r>
      <w:r w:rsidR="008D2841">
        <w:rPr>
          <w:rFonts w:ascii="Times New Roman" w:hAnsi="Times New Roman" w:cs="Times New Roman"/>
        </w:rPr>
        <w:t>n</w:t>
      </w:r>
      <w:r w:rsidRPr="00B35576">
        <w:rPr>
          <w:rFonts w:ascii="Times New Roman" w:hAnsi="Times New Roman" w:cs="Times New Roman"/>
        </w:rPr>
        <w:t xml:space="preserve"> promulgando e implementando estrategias</w:t>
      </w:r>
      <w:r w:rsidRPr="00B35576">
        <w:rPr>
          <w:rFonts w:ascii="Times New Roman" w:hAnsi="Times New Roman" w:cs="Times New Roman"/>
          <w:spacing w:val="1"/>
        </w:rPr>
        <w:t xml:space="preserve"> </w:t>
      </w:r>
      <w:r w:rsidRPr="00B35576">
        <w:rPr>
          <w:rFonts w:ascii="Times New Roman" w:hAnsi="Times New Roman" w:cs="Times New Roman"/>
        </w:rPr>
        <w:t>de gestión pública buscando la reducción de la vulnerabilidad de la población ante</w:t>
      </w:r>
      <w:r w:rsidRPr="00B35576">
        <w:rPr>
          <w:rFonts w:ascii="Times New Roman" w:hAnsi="Times New Roman" w:cs="Times New Roman"/>
          <w:spacing w:val="-57"/>
        </w:rPr>
        <w:t xml:space="preserve"> </w:t>
      </w:r>
      <w:r w:rsidRPr="00B35576">
        <w:rPr>
          <w:rFonts w:ascii="Times New Roman" w:hAnsi="Times New Roman" w:cs="Times New Roman"/>
        </w:rPr>
        <w:t>la</w:t>
      </w:r>
      <w:r w:rsidRPr="00B35576">
        <w:rPr>
          <w:rFonts w:ascii="Times New Roman" w:hAnsi="Times New Roman" w:cs="Times New Roman"/>
          <w:spacing w:val="1"/>
        </w:rPr>
        <w:t xml:space="preserve"> </w:t>
      </w:r>
      <w:r w:rsidRPr="00B35576">
        <w:rPr>
          <w:rFonts w:ascii="Times New Roman" w:hAnsi="Times New Roman" w:cs="Times New Roman"/>
        </w:rPr>
        <w:t>ocurrencia</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peligros</w:t>
      </w:r>
      <w:r w:rsidRPr="00B35576">
        <w:rPr>
          <w:rFonts w:ascii="Times New Roman" w:hAnsi="Times New Roman" w:cs="Times New Roman"/>
          <w:spacing w:val="1"/>
        </w:rPr>
        <w:t xml:space="preserve"> </w:t>
      </w:r>
      <w:r w:rsidRPr="00B35576">
        <w:rPr>
          <w:rFonts w:ascii="Times New Roman" w:hAnsi="Times New Roman" w:cs="Times New Roman"/>
        </w:rPr>
        <w:t>originados</w:t>
      </w:r>
      <w:r w:rsidRPr="00B35576">
        <w:rPr>
          <w:rFonts w:ascii="Times New Roman" w:hAnsi="Times New Roman" w:cs="Times New Roman"/>
          <w:spacing w:val="1"/>
        </w:rPr>
        <w:t xml:space="preserve"> </w:t>
      </w:r>
      <w:r w:rsidRPr="00B35576">
        <w:rPr>
          <w:rFonts w:ascii="Times New Roman" w:hAnsi="Times New Roman" w:cs="Times New Roman"/>
        </w:rPr>
        <w:t>por</w:t>
      </w:r>
      <w:r w:rsidRPr="00B35576">
        <w:rPr>
          <w:rFonts w:ascii="Times New Roman" w:hAnsi="Times New Roman" w:cs="Times New Roman"/>
          <w:spacing w:val="1"/>
        </w:rPr>
        <w:t xml:space="preserve"> </w:t>
      </w:r>
      <w:r w:rsidRPr="00B35576">
        <w:rPr>
          <w:rFonts w:ascii="Times New Roman" w:hAnsi="Times New Roman" w:cs="Times New Roman"/>
        </w:rPr>
        <w:t>fenómenos</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origen</w:t>
      </w:r>
      <w:r w:rsidRPr="00B35576">
        <w:rPr>
          <w:rFonts w:ascii="Times New Roman" w:hAnsi="Times New Roman" w:cs="Times New Roman"/>
          <w:spacing w:val="1"/>
        </w:rPr>
        <w:t xml:space="preserve"> </w:t>
      </w:r>
      <w:r w:rsidRPr="00B35576">
        <w:rPr>
          <w:rFonts w:ascii="Times New Roman" w:hAnsi="Times New Roman" w:cs="Times New Roman"/>
        </w:rPr>
        <w:t>natural</w:t>
      </w:r>
      <w:r w:rsidRPr="00B35576">
        <w:rPr>
          <w:rFonts w:ascii="Times New Roman" w:hAnsi="Times New Roman" w:cs="Times New Roman"/>
          <w:spacing w:val="1"/>
        </w:rPr>
        <w:t xml:space="preserve"> </w:t>
      </w:r>
      <w:r w:rsidRPr="00B35576">
        <w:rPr>
          <w:rFonts w:ascii="Times New Roman" w:hAnsi="Times New Roman" w:cs="Times New Roman"/>
        </w:rPr>
        <w:t>y</w:t>
      </w:r>
      <w:r w:rsidRPr="00B35576">
        <w:rPr>
          <w:rFonts w:ascii="Times New Roman" w:hAnsi="Times New Roman" w:cs="Times New Roman"/>
          <w:spacing w:val="1"/>
        </w:rPr>
        <w:t xml:space="preserve"> </w:t>
      </w:r>
      <w:r w:rsidRPr="00B35576">
        <w:rPr>
          <w:rFonts w:ascii="Times New Roman" w:hAnsi="Times New Roman" w:cs="Times New Roman"/>
        </w:rPr>
        <w:t>los</w:t>
      </w:r>
      <w:r w:rsidRPr="00B35576">
        <w:rPr>
          <w:rFonts w:ascii="Times New Roman" w:hAnsi="Times New Roman" w:cs="Times New Roman"/>
          <w:spacing w:val="1"/>
        </w:rPr>
        <w:t xml:space="preserve"> </w:t>
      </w:r>
      <w:r w:rsidRPr="00B35576">
        <w:rPr>
          <w:rFonts w:ascii="Times New Roman" w:hAnsi="Times New Roman" w:cs="Times New Roman"/>
        </w:rPr>
        <w:t>inducidos</w:t>
      </w:r>
      <w:r w:rsidRPr="00B35576">
        <w:rPr>
          <w:rFonts w:ascii="Times New Roman" w:hAnsi="Times New Roman" w:cs="Times New Roman"/>
          <w:spacing w:val="-4"/>
        </w:rPr>
        <w:t xml:space="preserve"> </w:t>
      </w:r>
      <w:r w:rsidRPr="00B35576">
        <w:rPr>
          <w:rFonts w:ascii="Times New Roman" w:hAnsi="Times New Roman" w:cs="Times New Roman"/>
        </w:rPr>
        <w:t>por</w:t>
      </w:r>
      <w:r w:rsidRPr="00B35576">
        <w:rPr>
          <w:rFonts w:ascii="Times New Roman" w:hAnsi="Times New Roman" w:cs="Times New Roman"/>
          <w:spacing w:val="-6"/>
        </w:rPr>
        <w:t xml:space="preserve"> </w:t>
      </w:r>
      <w:r w:rsidRPr="00B35576">
        <w:rPr>
          <w:rFonts w:ascii="Times New Roman" w:hAnsi="Times New Roman" w:cs="Times New Roman"/>
        </w:rPr>
        <w:t>la</w:t>
      </w:r>
      <w:r w:rsidRPr="00B35576">
        <w:rPr>
          <w:rFonts w:ascii="Times New Roman" w:hAnsi="Times New Roman" w:cs="Times New Roman"/>
          <w:spacing w:val="-5"/>
        </w:rPr>
        <w:t xml:space="preserve"> </w:t>
      </w:r>
      <w:r w:rsidRPr="00B35576">
        <w:rPr>
          <w:rFonts w:ascii="Times New Roman" w:hAnsi="Times New Roman" w:cs="Times New Roman"/>
        </w:rPr>
        <w:t>acción</w:t>
      </w:r>
      <w:r w:rsidRPr="00B35576">
        <w:rPr>
          <w:rFonts w:ascii="Times New Roman" w:hAnsi="Times New Roman" w:cs="Times New Roman"/>
          <w:spacing w:val="-2"/>
        </w:rPr>
        <w:t xml:space="preserve"> </w:t>
      </w:r>
      <w:r w:rsidRPr="00B35576">
        <w:rPr>
          <w:rFonts w:ascii="Times New Roman" w:hAnsi="Times New Roman" w:cs="Times New Roman"/>
        </w:rPr>
        <w:t>humana.</w:t>
      </w:r>
      <w:r w:rsidRPr="00B35576">
        <w:rPr>
          <w:rFonts w:ascii="Times New Roman" w:hAnsi="Times New Roman" w:cs="Times New Roman"/>
          <w:spacing w:val="-2"/>
        </w:rPr>
        <w:t xml:space="preserve"> </w:t>
      </w:r>
      <w:r w:rsidRPr="00B35576">
        <w:rPr>
          <w:rFonts w:ascii="Times New Roman" w:hAnsi="Times New Roman" w:cs="Times New Roman"/>
        </w:rPr>
        <w:t>Es</w:t>
      </w:r>
      <w:r w:rsidRPr="00B35576">
        <w:rPr>
          <w:rFonts w:ascii="Times New Roman" w:hAnsi="Times New Roman" w:cs="Times New Roman"/>
          <w:spacing w:val="-8"/>
        </w:rPr>
        <w:t xml:space="preserve"> </w:t>
      </w:r>
      <w:r w:rsidRPr="00B35576">
        <w:rPr>
          <w:rFonts w:ascii="Times New Roman" w:hAnsi="Times New Roman" w:cs="Times New Roman"/>
        </w:rPr>
        <w:t>así</w:t>
      </w:r>
      <w:r w:rsidRPr="00B35576">
        <w:rPr>
          <w:rFonts w:ascii="Times New Roman" w:hAnsi="Times New Roman" w:cs="Times New Roman"/>
          <w:spacing w:val="-2"/>
        </w:rPr>
        <w:t xml:space="preserve"> </w:t>
      </w:r>
      <w:r w:rsidRPr="00B35576">
        <w:rPr>
          <w:rFonts w:ascii="Times New Roman" w:hAnsi="Times New Roman" w:cs="Times New Roman"/>
        </w:rPr>
        <w:t>que</w:t>
      </w:r>
      <w:r w:rsidRPr="00B35576">
        <w:rPr>
          <w:rFonts w:ascii="Times New Roman" w:hAnsi="Times New Roman" w:cs="Times New Roman"/>
          <w:spacing w:val="-1"/>
        </w:rPr>
        <w:t xml:space="preserve"> </w:t>
      </w:r>
      <w:r w:rsidRPr="00B35576">
        <w:rPr>
          <w:rFonts w:ascii="Times New Roman" w:hAnsi="Times New Roman" w:cs="Times New Roman"/>
        </w:rPr>
        <w:t>se</w:t>
      </w:r>
      <w:r w:rsidRPr="00B35576">
        <w:rPr>
          <w:rFonts w:ascii="Times New Roman" w:hAnsi="Times New Roman" w:cs="Times New Roman"/>
          <w:spacing w:val="-1"/>
        </w:rPr>
        <w:t xml:space="preserve"> </w:t>
      </w:r>
      <w:r w:rsidRPr="00B35576">
        <w:rPr>
          <w:rFonts w:ascii="Times New Roman" w:hAnsi="Times New Roman" w:cs="Times New Roman"/>
        </w:rPr>
        <w:t>creó</w:t>
      </w:r>
      <w:r w:rsidRPr="00B35576">
        <w:rPr>
          <w:rFonts w:ascii="Times New Roman" w:hAnsi="Times New Roman" w:cs="Times New Roman"/>
          <w:spacing w:val="-2"/>
        </w:rPr>
        <w:t xml:space="preserve"> </w:t>
      </w:r>
      <w:r w:rsidRPr="00B35576">
        <w:rPr>
          <w:rFonts w:ascii="Times New Roman" w:hAnsi="Times New Roman" w:cs="Times New Roman"/>
        </w:rPr>
        <w:t>el</w:t>
      </w:r>
      <w:r w:rsidRPr="00B35576">
        <w:rPr>
          <w:rFonts w:ascii="Times New Roman" w:hAnsi="Times New Roman" w:cs="Times New Roman"/>
          <w:spacing w:val="-2"/>
        </w:rPr>
        <w:t xml:space="preserve"> </w:t>
      </w:r>
      <w:r w:rsidRPr="00B35576">
        <w:rPr>
          <w:rFonts w:ascii="Times New Roman" w:hAnsi="Times New Roman" w:cs="Times New Roman"/>
        </w:rPr>
        <w:t>Sistema</w:t>
      </w:r>
      <w:r w:rsidRPr="00B35576">
        <w:rPr>
          <w:rFonts w:ascii="Times New Roman" w:hAnsi="Times New Roman" w:cs="Times New Roman"/>
          <w:spacing w:val="-1"/>
        </w:rPr>
        <w:t xml:space="preserve"> </w:t>
      </w:r>
      <w:r w:rsidRPr="00B35576">
        <w:rPr>
          <w:rFonts w:ascii="Times New Roman" w:hAnsi="Times New Roman" w:cs="Times New Roman"/>
        </w:rPr>
        <w:t>Nacional</w:t>
      </w:r>
      <w:r w:rsidRPr="00B35576">
        <w:rPr>
          <w:rFonts w:ascii="Times New Roman" w:hAnsi="Times New Roman" w:cs="Times New Roman"/>
          <w:spacing w:val="-2"/>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Gestión</w:t>
      </w:r>
      <w:r w:rsidRPr="00B35576">
        <w:rPr>
          <w:rFonts w:ascii="Times New Roman" w:hAnsi="Times New Roman" w:cs="Times New Roman"/>
          <w:spacing w:val="-57"/>
        </w:rPr>
        <w:t xml:space="preserve"> </w:t>
      </w:r>
      <w:r w:rsidRPr="00B35576">
        <w:rPr>
          <w:rFonts w:ascii="Times New Roman" w:hAnsi="Times New Roman" w:cs="Times New Roman"/>
        </w:rPr>
        <w:t>del</w:t>
      </w:r>
      <w:r w:rsidRPr="00B35576">
        <w:rPr>
          <w:rFonts w:ascii="Times New Roman" w:hAnsi="Times New Roman" w:cs="Times New Roman"/>
          <w:spacing w:val="-6"/>
        </w:rPr>
        <w:t xml:space="preserve"> </w:t>
      </w:r>
      <w:r w:rsidRPr="00B35576">
        <w:rPr>
          <w:rFonts w:ascii="Times New Roman" w:hAnsi="Times New Roman" w:cs="Times New Roman"/>
        </w:rPr>
        <w:t>Riesgo</w:t>
      </w:r>
      <w:r w:rsidRPr="00B35576">
        <w:rPr>
          <w:rFonts w:ascii="Times New Roman" w:hAnsi="Times New Roman" w:cs="Times New Roman"/>
          <w:spacing w:val="-7"/>
        </w:rPr>
        <w:t xml:space="preserve"> </w:t>
      </w:r>
      <w:r w:rsidRPr="00B35576">
        <w:rPr>
          <w:rFonts w:ascii="Times New Roman" w:hAnsi="Times New Roman" w:cs="Times New Roman"/>
        </w:rPr>
        <w:t>de</w:t>
      </w:r>
      <w:r w:rsidRPr="00B35576">
        <w:rPr>
          <w:rFonts w:ascii="Times New Roman" w:hAnsi="Times New Roman" w:cs="Times New Roman"/>
          <w:spacing w:val="-5"/>
        </w:rPr>
        <w:t xml:space="preserve"> </w:t>
      </w:r>
      <w:r w:rsidRPr="00B35576">
        <w:rPr>
          <w:rFonts w:ascii="Times New Roman" w:hAnsi="Times New Roman" w:cs="Times New Roman"/>
        </w:rPr>
        <w:t>Desastres</w:t>
      </w:r>
      <w:r w:rsidRPr="00B35576">
        <w:rPr>
          <w:rFonts w:ascii="Times New Roman" w:hAnsi="Times New Roman" w:cs="Times New Roman"/>
          <w:spacing w:val="-8"/>
        </w:rPr>
        <w:t xml:space="preserve"> </w:t>
      </w:r>
      <w:r w:rsidRPr="00B35576">
        <w:rPr>
          <w:rFonts w:ascii="Times New Roman" w:hAnsi="Times New Roman" w:cs="Times New Roman"/>
        </w:rPr>
        <w:t>(SINAGERD),</w:t>
      </w:r>
      <w:r w:rsidRPr="00B35576">
        <w:rPr>
          <w:rFonts w:ascii="Times New Roman" w:hAnsi="Times New Roman" w:cs="Times New Roman"/>
          <w:spacing w:val="-6"/>
        </w:rPr>
        <w:t xml:space="preserve"> </w:t>
      </w:r>
      <w:r w:rsidR="008D2841">
        <w:rPr>
          <w:rFonts w:ascii="Times New Roman" w:hAnsi="Times New Roman" w:cs="Times New Roman"/>
        </w:rPr>
        <w:t xml:space="preserve">el </w:t>
      </w:r>
      <w:r w:rsidRPr="00B35576">
        <w:rPr>
          <w:rFonts w:ascii="Times New Roman" w:hAnsi="Times New Roman" w:cs="Times New Roman"/>
        </w:rPr>
        <w:t>cual</w:t>
      </w:r>
      <w:r w:rsidRPr="00B35576">
        <w:rPr>
          <w:rFonts w:ascii="Times New Roman" w:hAnsi="Times New Roman" w:cs="Times New Roman"/>
          <w:spacing w:val="-6"/>
        </w:rPr>
        <w:t xml:space="preserve"> </w:t>
      </w:r>
      <w:r w:rsidRPr="00B35576">
        <w:rPr>
          <w:rFonts w:ascii="Times New Roman" w:hAnsi="Times New Roman" w:cs="Times New Roman"/>
        </w:rPr>
        <w:t>está</w:t>
      </w:r>
      <w:r w:rsidRPr="00B35576">
        <w:rPr>
          <w:rFonts w:ascii="Times New Roman" w:hAnsi="Times New Roman" w:cs="Times New Roman"/>
          <w:spacing w:val="-5"/>
        </w:rPr>
        <w:t xml:space="preserve"> </w:t>
      </w:r>
      <w:r w:rsidRPr="00B35576">
        <w:rPr>
          <w:rFonts w:ascii="Times New Roman" w:hAnsi="Times New Roman" w:cs="Times New Roman"/>
        </w:rPr>
        <w:t>adecuadamente</w:t>
      </w:r>
      <w:r w:rsidRPr="00B35576">
        <w:rPr>
          <w:rFonts w:ascii="Times New Roman" w:hAnsi="Times New Roman" w:cs="Times New Roman"/>
          <w:spacing w:val="-5"/>
        </w:rPr>
        <w:t xml:space="preserve"> </w:t>
      </w:r>
      <w:r w:rsidRPr="00B35576">
        <w:rPr>
          <w:rFonts w:ascii="Times New Roman" w:hAnsi="Times New Roman" w:cs="Times New Roman"/>
        </w:rPr>
        <w:t>alineado</w:t>
      </w:r>
      <w:r w:rsidRPr="00B35576">
        <w:rPr>
          <w:rFonts w:ascii="Times New Roman" w:hAnsi="Times New Roman" w:cs="Times New Roman"/>
          <w:spacing w:val="-7"/>
        </w:rPr>
        <w:t xml:space="preserve"> </w:t>
      </w:r>
      <w:r w:rsidRPr="00B35576">
        <w:rPr>
          <w:rFonts w:ascii="Times New Roman" w:hAnsi="Times New Roman" w:cs="Times New Roman"/>
        </w:rPr>
        <w:t>con</w:t>
      </w:r>
      <w:r w:rsidRPr="00B35576">
        <w:rPr>
          <w:rFonts w:ascii="Times New Roman" w:hAnsi="Times New Roman" w:cs="Times New Roman"/>
          <w:spacing w:val="-7"/>
        </w:rPr>
        <w:t xml:space="preserve"> </w:t>
      </w:r>
      <w:r w:rsidRPr="00B35576">
        <w:rPr>
          <w:rFonts w:ascii="Times New Roman" w:hAnsi="Times New Roman" w:cs="Times New Roman"/>
        </w:rPr>
        <w:t>la</w:t>
      </w:r>
      <w:r w:rsidRPr="00B35576">
        <w:rPr>
          <w:rFonts w:ascii="Times New Roman" w:hAnsi="Times New Roman" w:cs="Times New Roman"/>
          <w:spacing w:val="-58"/>
        </w:rPr>
        <w:t xml:space="preserve"> </w:t>
      </w:r>
      <w:r w:rsidRPr="00B35576">
        <w:rPr>
          <w:rFonts w:ascii="Times New Roman" w:hAnsi="Times New Roman" w:cs="Times New Roman"/>
        </w:rPr>
        <w:t>normativa</w:t>
      </w:r>
      <w:r w:rsidRPr="00B35576">
        <w:rPr>
          <w:rFonts w:ascii="Times New Roman" w:hAnsi="Times New Roman" w:cs="Times New Roman"/>
          <w:spacing w:val="1"/>
        </w:rPr>
        <w:t xml:space="preserve"> </w:t>
      </w:r>
      <w:r w:rsidRPr="00B35576">
        <w:rPr>
          <w:rFonts w:ascii="Times New Roman" w:hAnsi="Times New Roman" w:cs="Times New Roman"/>
        </w:rPr>
        <w:t>internacional</w:t>
      </w:r>
      <w:r w:rsidRPr="00B35576">
        <w:rPr>
          <w:rFonts w:ascii="Times New Roman" w:hAnsi="Times New Roman" w:cs="Times New Roman"/>
          <w:spacing w:val="1"/>
        </w:rPr>
        <w:t xml:space="preserve"> </w:t>
      </w:r>
      <w:r w:rsidRPr="00B35576">
        <w:rPr>
          <w:rFonts w:ascii="Times New Roman" w:hAnsi="Times New Roman" w:cs="Times New Roman"/>
        </w:rPr>
        <w:t>vigente,</w:t>
      </w:r>
      <w:r w:rsidRPr="00B35576">
        <w:rPr>
          <w:rFonts w:ascii="Times New Roman" w:hAnsi="Times New Roman" w:cs="Times New Roman"/>
          <w:spacing w:val="1"/>
        </w:rPr>
        <w:t xml:space="preserve"> </w:t>
      </w:r>
      <w:r w:rsidRPr="00B35576">
        <w:rPr>
          <w:rFonts w:ascii="Times New Roman" w:hAnsi="Times New Roman" w:cs="Times New Roman"/>
        </w:rPr>
        <w:t>vale</w:t>
      </w:r>
      <w:r w:rsidRPr="00B35576">
        <w:rPr>
          <w:rFonts w:ascii="Times New Roman" w:hAnsi="Times New Roman" w:cs="Times New Roman"/>
          <w:spacing w:val="1"/>
        </w:rPr>
        <w:t xml:space="preserve"> </w:t>
      </w:r>
      <w:r w:rsidRPr="00B35576">
        <w:rPr>
          <w:rFonts w:ascii="Times New Roman" w:hAnsi="Times New Roman" w:cs="Times New Roman"/>
        </w:rPr>
        <w:t>decir</w:t>
      </w:r>
      <w:r w:rsidRPr="00B35576">
        <w:rPr>
          <w:rFonts w:ascii="Times New Roman" w:hAnsi="Times New Roman" w:cs="Times New Roman"/>
          <w:spacing w:val="1"/>
        </w:rPr>
        <w:t xml:space="preserve"> </w:t>
      </w:r>
      <w:r w:rsidRPr="00B35576">
        <w:rPr>
          <w:rFonts w:ascii="Times New Roman" w:hAnsi="Times New Roman" w:cs="Times New Roman"/>
        </w:rPr>
        <w:t>con</w:t>
      </w:r>
      <w:r w:rsidRPr="00B35576">
        <w:rPr>
          <w:rFonts w:ascii="Times New Roman" w:hAnsi="Times New Roman" w:cs="Times New Roman"/>
          <w:spacing w:val="1"/>
        </w:rPr>
        <w:t xml:space="preserve"> </w:t>
      </w:r>
      <w:r w:rsidRPr="00B35576">
        <w:rPr>
          <w:rFonts w:ascii="Times New Roman" w:hAnsi="Times New Roman" w:cs="Times New Roman"/>
        </w:rPr>
        <w:t>el</w:t>
      </w:r>
      <w:r w:rsidRPr="00B35576">
        <w:rPr>
          <w:rFonts w:ascii="Times New Roman" w:hAnsi="Times New Roman" w:cs="Times New Roman"/>
          <w:spacing w:val="1"/>
        </w:rPr>
        <w:t xml:space="preserve"> </w:t>
      </w:r>
      <w:r w:rsidRPr="00B35576">
        <w:rPr>
          <w:rFonts w:ascii="Times New Roman" w:hAnsi="Times New Roman" w:cs="Times New Roman"/>
        </w:rPr>
        <w:t>Marco</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Sendai</w:t>
      </w:r>
      <w:r w:rsidRPr="00B35576">
        <w:rPr>
          <w:rFonts w:ascii="Times New Roman" w:hAnsi="Times New Roman" w:cs="Times New Roman"/>
          <w:spacing w:val="1"/>
        </w:rPr>
        <w:t xml:space="preserve"> </w:t>
      </w:r>
      <w:r w:rsidRPr="00B35576">
        <w:rPr>
          <w:rFonts w:ascii="Times New Roman" w:hAnsi="Times New Roman" w:cs="Times New Roman"/>
        </w:rPr>
        <w:t>para</w:t>
      </w:r>
      <w:r w:rsidRPr="00B35576">
        <w:rPr>
          <w:rFonts w:ascii="Times New Roman" w:hAnsi="Times New Roman" w:cs="Times New Roman"/>
          <w:spacing w:val="1"/>
        </w:rPr>
        <w:t xml:space="preserve"> </w:t>
      </w:r>
      <w:r w:rsidRPr="00B35576">
        <w:rPr>
          <w:rFonts w:ascii="Times New Roman" w:hAnsi="Times New Roman" w:cs="Times New Roman"/>
        </w:rPr>
        <w:t>la</w:t>
      </w:r>
      <w:r w:rsidRPr="00B35576">
        <w:rPr>
          <w:rFonts w:ascii="Times New Roman" w:hAnsi="Times New Roman" w:cs="Times New Roman"/>
          <w:spacing w:val="1"/>
        </w:rPr>
        <w:t xml:space="preserve"> </w:t>
      </w:r>
      <w:r w:rsidRPr="00B35576">
        <w:rPr>
          <w:rFonts w:ascii="Times New Roman" w:hAnsi="Times New Roman" w:cs="Times New Roman"/>
        </w:rPr>
        <w:t>Reducción</w:t>
      </w:r>
      <w:r w:rsidRPr="00B35576">
        <w:rPr>
          <w:rFonts w:ascii="Times New Roman" w:hAnsi="Times New Roman" w:cs="Times New Roman"/>
          <w:spacing w:val="1"/>
        </w:rPr>
        <w:t xml:space="preserve"> </w:t>
      </w:r>
      <w:r w:rsidRPr="00B35576">
        <w:rPr>
          <w:rFonts w:ascii="Times New Roman" w:hAnsi="Times New Roman" w:cs="Times New Roman"/>
        </w:rPr>
        <w:t>del</w:t>
      </w:r>
      <w:r w:rsidRPr="00B35576">
        <w:rPr>
          <w:rFonts w:ascii="Times New Roman" w:hAnsi="Times New Roman" w:cs="Times New Roman"/>
          <w:spacing w:val="1"/>
        </w:rPr>
        <w:t xml:space="preserve"> </w:t>
      </w:r>
      <w:r w:rsidRPr="00B35576">
        <w:rPr>
          <w:rFonts w:ascii="Times New Roman" w:hAnsi="Times New Roman" w:cs="Times New Roman"/>
        </w:rPr>
        <w:t>Riesgo</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Desastres</w:t>
      </w:r>
      <w:r w:rsidRPr="00B35576">
        <w:rPr>
          <w:rFonts w:ascii="Times New Roman" w:hAnsi="Times New Roman" w:cs="Times New Roman"/>
          <w:spacing w:val="1"/>
        </w:rPr>
        <w:t xml:space="preserve"> </w:t>
      </w:r>
      <w:r w:rsidRPr="00B35576">
        <w:rPr>
          <w:rFonts w:ascii="Times New Roman" w:hAnsi="Times New Roman" w:cs="Times New Roman"/>
        </w:rPr>
        <w:t>2015-2030,</w:t>
      </w:r>
      <w:r w:rsidRPr="00B35576">
        <w:rPr>
          <w:rFonts w:ascii="Times New Roman" w:hAnsi="Times New Roman" w:cs="Times New Roman"/>
          <w:spacing w:val="1"/>
        </w:rPr>
        <w:t xml:space="preserve"> </w:t>
      </w:r>
      <w:r w:rsidRPr="00B35576">
        <w:rPr>
          <w:rFonts w:ascii="Times New Roman" w:hAnsi="Times New Roman" w:cs="Times New Roman"/>
        </w:rPr>
        <w:t>los</w:t>
      </w:r>
      <w:r w:rsidRPr="00B35576">
        <w:rPr>
          <w:rFonts w:ascii="Times New Roman" w:hAnsi="Times New Roman" w:cs="Times New Roman"/>
          <w:spacing w:val="1"/>
        </w:rPr>
        <w:t xml:space="preserve"> </w:t>
      </w:r>
      <w:r w:rsidRPr="00B35576">
        <w:rPr>
          <w:rFonts w:ascii="Times New Roman" w:hAnsi="Times New Roman" w:cs="Times New Roman"/>
        </w:rPr>
        <w:t>Objetivos</w:t>
      </w:r>
      <w:r w:rsidRPr="00B35576">
        <w:rPr>
          <w:rFonts w:ascii="Times New Roman" w:hAnsi="Times New Roman" w:cs="Times New Roman"/>
          <w:spacing w:val="1"/>
        </w:rPr>
        <w:t xml:space="preserve"> </w:t>
      </w:r>
      <w:r w:rsidRPr="00B35576">
        <w:rPr>
          <w:rFonts w:ascii="Times New Roman" w:hAnsi="Times New Roman" w:cs="Times New Roman"/>
        </w:rPr>
        <w:t>de</w:t>
      </w:r>
      <w:r w:rsidRPr="00B35576">
        <w:rPr>
          <w:rFonts w:ascii="Times New Roman" w:hAnsi="Times New Roman" w:cs="Times New Roman"/>
          <w:spacing w:val="1"/>
        </w:rPr>
        <w:t xml:space="preserve"> </w:t>
      </w:r>
      <w:r w:rsidRPr="00B35576">
        <w:rPr>
          <w:rFonts w:ascii="Times New Roman" w:hAnsi="Times New Roman" w:cs="Times New Roman"/>
        </w:rPr>
        <w:t>Desarrollo</w:t>
      </w:r>
      <w:r w:rsidRPr="00B35576">
        <w:rPr>
          <w:rFonts w:ascii="Times New Roman" w:hAnsi="Times New Roman" w:cs="Times New Roman"/>
          <w:spacing w:val="1"/>
        </w:rPr>
        <w:t xml:space="preserve"> </w:t>
      </w:r>
      <w:r w:rsidRPr="00B35576">
        <w:rPr>
          <w:rFonts w:ascii="Times New Roman" w:hAnsi="Times New Roman" w:cs="Times New Roman"/>
        </w:rPr>
        <w:t>Sostenible (ODS) y</w:t>
      </w:r>
      <w:r w:rsidRPr="00B35576">
        <w:rPr>
          <w:rFonts w:ascii="Times New Roman" w:hAnsi="Times New Roman" w:cs="Times New Roman"/>
          <w:spacing w:val="-1"/>
        </w:rPr>
        <w:t xml:space="preserve"> </w:t>
      </w:r>
      <w:r w:rsidRPr="00B35576">
        <w:rPr>
          <w:rFonts w:ascii="Times New Roman" w:hAnsi="Times New Roman" w:cs="Times New Roman"/>
        </w:rPr>
        <w:t>con la Estrategia</w:t>
      </w:r>
      <w:r w:rsidRPr="00B35576">
        <w:rPr>
          <w:rFonts w:ascii="Times New Roman" w:hAnsi="Times New Roman" w:cs="Times New Roman"/>
          <w:spacing w:val="1"/>
        </w:rPr>
        <w:t xml:space="preserve"> </w:t>
      </w:r>
      <w:r w:rsidRPr="00B35576">
        <w:rPr>
          <w:rFonts w:ascii="Times New Roman" w:hAnsi="Times New Roman" w:cs="Times New Roman"/>
        </w:rPr>
        <w:t>de la</w:t>
      </w:r>
      <w:r w:rsidRPr="00B35576">
        <w:rPr>
          <w:rFonts w:ascii="Times New Roman" w:hAnsi="Times New Roman" w:cs="Times New Roman"/>
          <w:spacing w:val="-3"/>
        </w:rPr>
        <w:t xml:space="preserve"> </w:t>
      </w:r>
      <w:r w:rsidRPr="00B35576">
        <w:rPr>
          <w:rFonts w:ascii="Times New Roman" w:hAnsi="Times New Roman" w:cs="Times New Roman"/>
        </w:rPr>
        <w:t>Subregión</w:t>
      </w:r>
      <w:r w:rsidRPr="00B35576">
        <w:rPr>
          <w:rFonts w:ascii="Times New Roman" w:hAnsi="Times New Roman" w:cs="Times New Roman"/>
          <w:spacing w:val="-1"/>
        </w:rPr>
        <w:t xml:space="preserve"> </w:t>
      </w:r>
      <w:r w:rsidRPr="00B35576">
        <w:rPr>
          <w:rFonts w:ascii="Times New Roman" w:hAnsi="Times New Roman" w:cs="Times New Roman"/>
        </w:rPr>
        <w:t>Andina.</w:t>
      </w:r>
    </w:p>
    <w:p w14:paraId="7550866D" w14:textId="05ADDF94" w:rsidR="009B4BA8" w:rsidRDefault="00B35576" w:rsidP="00CC562D">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Si bien es cierto, el SINAGERD cuenta con tres componentes (prospectivo, correctivo y reactivo) y siete procesos (Estimación del riesgo, Prevención del riesgo, Reducción del riesgo, Preparación, Respuesta, Rehabilitación y Reconstrucción); aún en el país no se ha incorporado como es debido en las entidades públicas del SINAGERD. En los últimos años se ha venido desarrollando asistencia técnica por parte de INDECI y CENEPRED (entidades técnicas normativas que supervisan la implementación de los procesos de GRD bajo su competencia) mediante el desarrollo de capacitaciones a los funcionarios y servidores con el fin de fortalecer las capacidades humanas y técnicas en lo referente a los procesos de la GRD y su implementación, adicionalmente se está fomentando el desarrollo de los planes específicos por procesos con el fin de incorporar la GRD en la entidad.</w:t>
      </w:r>
    </w:p>
    <w:p w14:paraId="12BE7D69" w14:textId="639C4BAC"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 xml:space="preserve">Aunque se viene desarrollando avances aún se observa </w:t>
      </w:r>
      <w:r w:rsidR="008D2841">
        <w:rPr>
          <w:rFonts w:ascii="Times New Roman" w:eastAsia="Times New Roman" w:hAnsi="Times New Roman" w:cs="Times New Roman"/>
        </w:rPr>
        <w:t xml:space="preserve">que </w:t>
      </w:r>
      <w:r w:rsidRPr="00B35576">
        <w:rPr>
          <w:rFonts w:ascii="Times New Roman" w:eastAsia="Times New Roman" w:hAnsi="Times New Roman" w:cs="Times New Roman"/>
        </w:rPr>
        <w:t>a nivel nacional</w:t>
      </w:r>
      <w:r w:rsidR="008D2841">
        <w:rPr>
          <w:rFonts w:ascii="Times New Roman" w:eastAsia="Times New Roman" w:hAnsi="Times New Roman" w:cs="Times New Roman"/>
        </w:rPr>
        <w:t>,</w:t>
      </w:r>
      <w:r w:rsidRPr="00B35576">
        <w:rPr>
          <w:rFonts w:ascii="Times New Roman" w:eastAsia="Times New Roman" w:hAnsi="Times New Roman" w:cs="Times New Roman"/>
        </w:rPr>
        <w:t xml:space="preserve"> regional</w:t>
      </w:r>
      <w:r w:rsidR="008D2841">
        <w:rPr>
          <w:rFonts w:ascii="Times New Roman" w:eastAsia="Times New Roman" w:hAnsi="Times New Roman" w:cs="Times New Roman"/>
        </w:rPr>
        <w:t xml:space="preserve"> y </w:t>
      </w:r>
      <w:r w:rsidRPr="00B35576">
        <w:rPr>
          <w:rFonts w:ascii="Times New Roman" w:eastAsia="Times New Roman" w:hAnsi="Times New Roman" w:cs="Times New Roman"/>
        </w:rPr>
        <w:t>local</w:t>
      </w:r>
      <w:r w:rsidR="008D2841">
        <w:rPr>
          <w:rFonts w:ascii="Times New Roman" w:eastAsia="Times New Roman" w:hAnsi="Times New Roman" w:cs="Times New Roman"/>
        </w:rPr>
        <w:t>,</w:t>
      </w:r>
      <w:r w:rsidRPr="00B35576">
        <w:rPr>
          <w:rFonts w:ascii="Times New Roman" w:eastAsia="Times New Roman" w:hAnsi="Times New Roman" w:cs="Times New Roman"/>
        </w:rPr>
        <w:t xml:space="preserve"> todavía es necesario una mayor incidencia y voluntad política de los titulares de las entidades para que modifiquen su Reglamento de Organización y Funciones (ROF) e incluyan la GRD en sus Planes Estratégicos Institucionales y los Planes Operativos Institucionales, así como la necesidad de fortalecer de forma adecuada las partidas presupuestales en GRD, en lo </w:t>
      </w:r>
      <w:r w:rsidR="008D2841">
        <w:rPr>
          <w:rFonts w:ascii="Times New Roman" w:eastAsia="Times New Roman" w:hAnsi="Times New Roman" w:cs="Times New Roman"/>
        </w:rPr>
        <w:t xml:space="preserve">que </w:t>
      </w:r>
      <w:r w:rsidRPr="00B35576">
        <w:rPr>
          <w:rFonts w:ascii="Times New Roman" w:eastAsia="Times New Roman" w:hAnsi="Times New Roman" w:cs="Times New Roman"/>
        </w:rPr>
        <w:t>se destaca el Programa Presupuestal 0068, mostrando una baja ejecución de esta partida como se observa en el portal de la consulta amigable del MEF.</w:t>
      </w:r>
    </w:p>
    <w:p w14:paraId="4C97DD3B" w14:textId="71C4726D"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lastRenderedPageBreak/>
        <w:t xml:space="preserve"> Es ante este marco de la implementación de la GRD en las entidades públicas, donde se incluye el Sector Defensa </w:t>
      </w:r>
      <w:r w:rsidR="00FA4C09">
        <w:rPr>
          <w:rFonts w:ascii="Times New Roman" w:eastAsia="Times New Roman" w:hAnsi="Times New Roman" w:cs="Times New Roman"/>
        </w:rPr>
        <w:t xml:space="preserve">es </w:t>
      </w:r>
      <w:r w:rsidRPr="00B35576">
        <w:rPr>
          <w:rFonts w:ascii="Times New Roman" w:eastAsia="Times New Roman" w:hAnsi="Times New Roman" w:cs="Times New Roman"/>
        </w:rPr>
        <w:t xml:space="preserve">que se consideró necesario realizar una investigación que tenga como finalidad demostrar que la gestión del riesgo de desastres </w:t>
      </w:r>
      <w:r w:rsidR="00FA4C09">
        <w:rPr>
          <w:rFonts w:ascii="Times New Roman" w:hAnsi="Times New Roman" w:cs="Times New Roman"/>
        </w:rPr>
        <w:t>en los procesos de reducción del riesgo, preparación y respuesta</w:t>
      </w:r>
      <w:r w:rsidR="00FA4C09" w:rsidRPr="00B35576">
        <w:rPr>
          <w:rFonts w:ascii="Times New Roman" w:eastAsia="Times New Roman" w:hAnsi="Times New Roman" w:cs="Times New Roman"/>
        </w:rPr>
        <w:t xml:space="preserve"> </w:t>
      </w:r>
      <w:r w:rsidRPr="00B35576">
        <w:rPr>
          <w:rFonts w:ascii="Times New Roman" w:eastAsia="Times New Roman" w:hAnsi="Times New Roman" w:cs="Times New Roman"/>
        </w:rPr>
        <w:t>se encuentra relacionada a las competencias en el Sector Defensa</w:t>
      </w:r>
      <w:r w:rsidR="00FA4C09">
        <w:rPr>
          <w:rFonts w:ascii="Times New Roman" w:eastAsia="Times New Roman" w:hAnsi="Times New Roman" w:cs="Times New Roman"/>
        </w:rPr>
        <w:t>.</w:t>
      </w:r>
    </w:p>
    <w:p w14:paraId="790F037C"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El alcanzar ese propósito, la investigación se estructuró en seis secciones particulares que se detallan en las siguientes líneas:</w:t>
      </w:r>
    </w:p>
    <w:p w14:paraId="5005B132"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Primera sección: Involucra el planteamiento de la problemática donde se realiza el diagnóstico de la problemática a investigar, se formulan los problemas y objetivos; además se fundamenta la justificación e importancia de realizar el estudio, se prevén las probables limitaciones que puedan presentarse durante el desarrollo de la investigación.</w:t>
      </w:r>
    </w:p>
    <w:p w14:paraId="056B9C77"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Segunda sección: Se desarrolla la parte teórica del tema en estudio, realizando un análisis de teorías y conceptos referente a las variables de estudio, enfoque y dimensiones; se presenta la definición de términos en el sentido y extensión en que serán empleados en la investigación.</w:t>
      </w:r>
    </w:p>
    <w:p w14:paraId="0C5E37C8"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Tercera sección: Se plantea las hipótesis de estudio; abordando la definición conceptual y operacional de cada una de las variables que conforman las hipótesis de trabajo.</w:t>
      </w:r>
    </w:p>
    <w:p w14:paraId="158EB020"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Cuarta sección: Se detalla la metodología que se corresponde a la investigación: enfoque, tipo, método, alcances, diseño, la población, el tamaño de la muestra, precisamos las técnicas e instrumentos de recolección de datos que se tiene previsto aplicar, así como la descripción de la manera como analizaremos los datos que se obtengan.</w:t>
      </w:r>
    </w:p>
    <w:p w14:paraId="1E078582" w14:textId="77777777" w:rsidR="00B35576" w:rsidRP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Quinta sección: Contiene los resultados descriptivos de la variable y sus dimensiones; además de la prueba de hipótesis desarrollado mediante el estadístico de Rho de Spearman.</w:t>
      </w:r>
    </w:p>
    <w:p w14:paraId="46D33FDC" w14:textId="77777777" w:rsid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Sexta sección: Comprende las discusiones, conclusiones y recomendaciones que se muestran de acuerdo al logro de los objetivos que se planteó en la</w:t>
      </w:r>
      <w:r>
        <w:rPr>
          <w:rFonts w:ascii="Times New Roman" w:eastAsia="Times New Roman" w:hAnsi="Times New Roman" w:cs="Times New Roman"/>
        </w:rPr>
        <w:t xml:space="preserve"> </w:t>
      </w:r>
      <w:r w:rsidRPr="00B35576">
        <w:rPr>
          <w:rFonts w:ascii="Times New Roman" w:eastAsia="Times New Roman" w:hAnsi="Times New Roman" w:cs="Times New Roman"/>
        </w:rPr>
        <w:lastRenderedPageBreak/>
        <w:t>investigación de tesis. También, se muestra la propuesta que está orientada en la solución del problema investigado.</w:t>
      </w:r>
    </w:p>
    <w:p w14:paraId="7A66E1EA" w14:textId="5DC9FD6F" w:rsidR="00B35576" w:rsidRDefault="00B35576" w:rsidP="00B35576">
      <w:pPr>
        <w:pBdr>
          <w:top w:val="nil"/>
          <w:left w:val="nil"/>
          <w:bottom w:val="nil"/>
          <w:right w:val="nil"/>
          <w:between w:val="nil"/>
        </w:pBdr>
        <w:spacing w:after="200"/>
        <w:ind w:firstLine="567"/>
        <w:jc w:val="both"/>
        <w:rPr>
          <w:rFonts w:ascii="Times New Roman" w:eastAsia="Times New Roman" w:hAnsi="Times New Roman" w:cs="Times New Roman"/>
        </w:rPr>
      </w:pPr>
      <w:r w:rsidRPr="00B35576">
        <w:rPr>
          <w:rFonts w:ascii="Times New Roman" w:eastAsia="Times New Roman" w:hAnsi="Times New Roman" w:cs="Times New Roman"/>
        </w:rPr>
        <w:t>Finalmente</w:t>
      </w:r>
      <w:r>
        <w:rPr>
          <w:rFonts w:ascii="Times New Roman" w:eastAsia="Times New Roman" w:hAnsi="Times New Roman" w:cs="Times New Roman"/>
        </w:rPr>
        <w:t xml:space="preserve"> </w:t>
      </w:r>
      <w:r w:rsidRPr="00B35576">
        <w:rPr>
          <w:rFonts w:ascii="Times New Roman" w:eastAsia="Times New Roman" w:hAnsi="Times New Roman" w:cs="Times New Roman"/>
        </w:rPr>
        <w:t>se</w:t>
      </w:r>
      <w:r>
        <w:rPr>
          <w:rFonts w:ascii="Times New Roman" w:eastAsia="Times New Roman" w:hAnsi="Times New Roman" w:cs="Times New Roman"/>
        </w:rPr>
        <w:t xml:space="preserve"> </w:t>
      </w:r>
      <w:r w:rsidRPr="00B35576">
        <w:rPr>
          <w:rFonts w:ascii="Times New Roman" w:eastAsia="Times New Roman" w:hAnsi="Times New Roman" w:cs="Times New Roman"/>
        </w:rPr>
        <w:t>presentan</w:t>
      </w:r>
      <w:r>
        <w:rPr>
          <w:rFonts w:ascii="Times New Roman" w:eastAsia="Times New Roman" w:hAnsi="Times New Roman" w:cs="Times New Roman"/>
        </w:rPr>
        <w:t xml:space="preserve"> </w:t>
      </w:r>
      <w:r w:rsidRPr="00B35576">
        <w:rPr>
          <w:rFonts w:ascii="Times New Roman" w:eastAsia="Times New Roman" w:hAnsi="Times New Roman" w:cs="Times New Roman"/>
        </w:rPr>
        <w:t>las</w:t>
      </w:r>
      <w:r>
        <w:rPr>
          <w:rFonts w:ascii="Times New Roman" w:eastAsia="Times New Roman" w:hAnsi="Times New Roman" w:cs="Times New Roman"/>
        </w:rPr>
        <w:t xml:space="preserve"> </w:t>
      </w:r>
      <w:r w:rsidRPr="00B35576">
        <w:rPr>
          <w:rFonts w:ascii="Times New Roman" w:eastAsia="Times New Roman" w:hAnsi="Times New Roman" w:cs="Times New Roman"/>
        </w:rPr>
        <w:t>referencias</w:t>
      </w:r>
      <w:r>
        <w:rPr>
          <w:rFonts w:ascii="Times New Roman" w:eastAsia="Times New Roman" w:hAnsi="Times New Roman" w:cs="Times New Roman"/>
        </w:rPr>
        <w:t xml:space="preserve"> </w:t>
      </w:r>
      <w:r w:rsidRPr="00B35576">
        <w:rPr>
          <w:rFonts w:ascii="Times New Roman" w:eastAsia="Times New Roman" w:hAnsi="Times New Roman" w:cs="Times New Roman"/>
        </w:rPr>
        <w:t>bibliográficas</w:t>
      </w:r>
      <w:r>
        <w:rPr>
          <w:rFonts w:ascii="Times New Roman" w:eastAsia="Times New Roman" w:hAnsi="Times New Roman" w:cs="Times New Roman"/>
        </w:rPr>
        <w:t xml:space="preserve"> </w:t>
      </w:r>
      <w:r w:rsidRPr="00B35576">
        <w:rPr>
          <w:rFonts w:ascii="Times New Roman" w:eastAsia="Times New Roman" w:hAnsi="Times New Roman" w:cs="Times New Roman"/>
        </w:rPr>
        <w:t>y</w:t>
      </w:r>
      <w:r>
        <w:rPr>
          <w:rFonts w:ascii="Times New Roman" w:eastAsia="Times New Roman" w:hAnsi="Times New Roman" w:cs="Times New Roman"/>
        </w:rPr>
        <w:t xml:space="preserve"> </w:t>
      </w:r>
      <w:r w:rsidRPr="00B35576">
        <w:rPr>
          <w:rFonts w:ascii="Times New Roman" w:eastAsia="Times New Roman" w:hAnsi="Times New Roman" w:cs="Times New Roman"/>
        </w:rPr>
        <w:t>anexos correspondientes.</w:t>
      </w:r>
    </w:p>
    <w:p w14:paraId="0CDAB505" w14:textId="3D5F4A65" w:rsidR="00B35576" w:rsidRDefault="00B35576" w:rsidP="00CC562D">
      <w:pPr>
        <w:pBdr>
          <w:top w:val="nil"/>
          <w:left w:val="nil"/>
          <w:bottom w:val="nil"/>
          <w:right w:val="nil"/>
          <w:between w:val="nil"/>
        </w:pBdr>
        <w:spacing w:after="200"/>
        <w:ind w:firstLine="567"/>
        <w:jc w:val="both"/>
        <w:rPr>
          <w:rFonts w:ascii="Times New Roman" w:eastAsia="Times New Roman" w:hAnsi="Times New Roman" w:cs="Times New Roman"/>
        </w:rPr>
      </w:pPr>
    </w:p>
    <w:p w14:paraId="0BB5ECC5" w14:textId="77777777" w:rsidR="00B35576" w:rsidRPr="00EF3C94" w:rsidRDefault="00B35576" w:rsidP="00CC562D">
      <w:pPr>
        <w:pBdr>
          <w:top w:val="nil"/>
          <w:left w:val="nil"/>
          <w:bottom w:val="nil"/>
          <w:right w:val="nil"/>
          <w:between w:val="nil"/>
        </w:pBdr>
        <w:spacing w:after="200"/>
        <w:ind w:firstLine="567"/>
        <w:jc w:val="both"/>
        <w:rPr>
          <w:rFonts w:ascii="Times New Roman" w:eastAsia="Times New Roman" w:hAnsi="Times New Roman" w:cs="Times New Roman"/>
        </w:rPr>
      </w:pPr>
    </w:p>
    <w:p w14:paraId="2266E5C1" w14:textId="6F5E3293" w:rsidR="00657D48" w:rsidRDefault="003F3EEB">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sectPr w:rsidR="00657D48">
          <w:pgSz w:w="11906" w:h="16838"/>
          <w:pgMar w:top="1701" w:right="1701" w:bottom="1701" w:left="2268" w:header="709" w:footer="709" w:gutter="0"/>
          <w:cols w:space="720"/>
          <w:titlePg/>
        </w:sectPr>
      </w:pPr>
      <w:r>
        <w:rPr>
          <w:rFonts w:ascii="Times New Roman" w:eastAsia="Times New Roman" w:hAnsi="Times New Roman" w:cs="Times New Roman"/>
          <w:color w:val="000000"/>
        </w:rPr>
        <w:t xml:space="preserve">  </w:t>
      </w:r>
    </w:p>
    <w:p w14:paraId="07BBE922" w14:textId="32EF5545" w:rsidR="007A2787" w:rsidRPr="007A2787" w:rsidRDefault="007A2787" w:rsidP="007A2787">
      <w:pPr>
        <w:pStyle w:val="Ttulo1"/>
        <w:rPr>
          <w:color w:val="000000"/>
        </w:rPr>
      </w:pPr>
      <w:bookmarkStart w:id="17" w:name="_Toc117518887"/>
      <w:r w:rsidRPr="007A2787">
        <w:rPr>
          <w:color w:val="000000"/>
        </w:rPr>
        <w:lastRenderedPageBreak/>
        <w:t>CAPÍTULO I.</w:t>
      </w:r>
      <w:bookmarkEnd w:id="17"/>
      <w:r w:rsidRPr="007A2787">
        <w:rPr>
          <w:color w:val="000000"/>
        </w:rPr>
        <w:t xml:space="preserve"> </w:t>
      </w:r>
    </w:p>
    <w:p w14:paraId="7E3245F1" w14:textId="345DBFDE" w:rsidR="00657D48" w:rsidRPr="007A2787" w:rsidRDefault="003F3EEB" w:rsidP="007A2787">
      <w:pPr>
        <w:pStyle w:val="Ttulo1"/>
      </w:pPr>
      <w:bookmarkStart w:id="18" w:name="_Toc117518888"/>
      <w:r w:rsidRPr="007A2787">
        <w:rPr>
          <w:color w:val="000000"/>
        </w:rPr>
        <w:t>Planteamiento del problema</w:t>
      </w:r>
      <w:bookmarkEnd w:id="18"/>
    </w:p>
    <w:p w14:paraId="69B23844" w14:textId="77777777" w:rsidR="00657D48" w:rsidRDefault="00657D48">
      <w:pPr>
        <w:pBdr>
          <w:top w:val="nil"/>
          <w:left w:val="nil"/>
          <w:bottom w:val="nil"/>
          <w:right w:val="nil"/>
          <w:between w:val="nil"/>
        </w:pBdr>
        <w:spacing w:after="0"/>
        <w:ind w:left="284"/>
        <w:rPr>
          <w:rFonts w:ascii="Times New Roman" w:eastAsia="Times New Roman" w:hAnsi="Times New Roman" w:cs="Times New Roman"/>
          <w:b/>
          <w:color w:val="000000"/>
          <w:sz w:val="12"/>
          <w:szCs w:val="12"/>
        </w:rPr>
      </w:pPr>
    </w:p>
    <w:p w14:paraId="75258382" w14:textId="79C0DFFC" w:rsidR="00657D48" w:rsidRPr="007A2787" w:rsidRDefault="007A2787" w:rsidP="007A2787">
      <w:pPr>
        <w:pStyle w:val="Ttulo1"/>
        <w:jc w:val="left"/>
      </w:pPr>
      <w:bookmarkStart w:id="19" w:name="_1d96cc0" w:colFirst="0" w:colLast="0"/>
      <w:bookmarkStart w:id="20" w:name="_Toc117518889"/>
      <w:bookmarkEnd w:id="19"/>
      <w:r w:rsidRPr="007A2787">
        <w:rPr>
          <w:color w:val="000000"/>
        </w:rPr>
        <w:t xml:space="preserve">1.1 </w:t>
      </w:r>
      <w:r w:rsidR="003F3EEB" w:rsidRPr="007A2787">
        <w:rPr>
          <w:color w:val="000000"/>
        </w:rPr>
        <w:t>Descripción de la realidad problemática</w:t>
      </w:r>
      <w:bookmarkEnd w:id="20"/>
    </w:p>
    <w:p w14:paraId="3B330744" w14:textId="77777777" w:rsidR="00657D48" w:rsidRDefault="00657D48">
      <w:pPr>
        <w:pBdr>
          <w:top w:val="nil"/>
          <w:left w:val="nil"/>
          <w:bottom w:val="nil"/>
          <w:right w:val="nil"/>
          <w:between w:val="nil"/>
        </w:pBdr>
        <w:spacing w:after="0"/>
        <w:ind w:left="360"/>
        <w:jc w:val="both"/>
        <w:rPr>
          <w:rFonts w:ascii="Times New Roman" w:eastAsia="Times New Roman" w:hAnsi="Times New Roman" w:cs="Times New Roman"/>
          <w:color w:val="000000"/>
          <w:sz w:val="12"/>
          <w:szCs w:val="12"/>
        </w:rPr>
      </w:pPr>
    </w:p>
    <w:p w14:paraId="4A90CDD2" w14:textId="293F71D5" w:rsidR="008D3FA6" w:rsidRPr="00EF3C94" w:rsidRDefault="00B35576" w:rsidP="008D3FA6">
      <w:pPr>
        <w:pBdr>
          <w:top w:val="nil"/>
          <w:left w:val="nil"/>
          <w:bottom w:val="nil"/>
          <w:right w:val="nil"/>
          <w:between w:val="nil"/>
        </w:pBdr>
        <w:spacing w:after="200"/>
        <w:jc w:val="both"/>
        <w:rPr>
          <w:rFonts w:ascii="Times New Roman" w:eastAsia="Times New Roman" w:hAnsi="Times New Roman" w:cs="Times New Roman"/>
          <w:lang w:val="es-ES_tradnl"/>
        </w:rPr>
      </w:pPr>
      <w:r w:rsidRPr="00B35576">
        <w:rPr>
          <w:rFonts w:ascii="Times New Roman" w:eastAsia="Times New Roman" w:hAnsi="Times New Roman" w:cs="Times New Roman"/>
          <w:lang w:val="es-ES_tradnl"/>
        </w:rPr>
        <w:t>En varios países de la región, las pérdidas por desastres son cada vez mayores, y llegan a representar anualmente un porcentaje significativo de su producto interno bruto y un porcentaje más alto si se compara estas pérdidas con las cifras del gasto social que realizan, llegando en algunos casos a representar entre el 30 y 50 por ciento de dicho gasto (Global Assessment Report on Disaster Risk Reduction, 2015)</w:t>
      </w:r>
    </w:p>
    <w:p w14:paraId="3034C822" w14:textId="456EF605" w:rsidR="008D3FA6" w:rsidRPr="00EF3C94" w:rsidRDefault="008D3FA6" w:rsidP="008D3FA6">
      <w:pPr>
        <w:pBdr>
          <w:top w:val="nil"/>
          <w:left w:val="nil"/>
          <w:bottom w:val="nil"/>
          <w:right w:val="nil"/>
          <w:between w:val="nil"/>
        </w:pBdr>
        <w:spacing w:after="200"/>
        <w:jc w:val="both"/>
        <w:rPr>
          <w:rFonts w:ascii="Times New Roman" w:eastAsia="Times New Roman" w:hAnsi="Times New Roman" w:cs="Times New Roman"/>
          <w:lang w:val="es-ES_tradnl"/>
        </w:rPr>
      </w:pPr>
      <w:bookmarkStart w:id="21" w:name="_Hlk117514818"/>
      <w:r w:rsidRPr="00EF3C94">
        <w:rPr>
          <w:rFonts w:ascii="Times New Roman" w:eastAsia="Times New Roman" w:hAnsi="Times New Roman" w:cs="Times New Roman"/>
          <w:lang w:val="es-ES_tradnl"/>
        </w:rPr>
        <w:t>Según el informe “Annual Global Climate and Catastrophe Report 2016”, de la aseguradora británica Aon los desastres acaecidos en el mundo durante el año 2016 generaron pérdidas por un valor de 210 mil millones de dólares, siendo el valor más alto registrado desde el año 2012. Estas pérdidas fueron ocasionadas por un total de 315 desastres, cifra que se sitúa por encima de la media de 271 eventos anuales (The Economist</w:t>
      </w:r>
      <w:r w:rsidR="003256CF" w:rsidRPr="00EF3C94">
        <w:rPr>
          <w:rFonts w:ascii="Times New Roman" w:eastAsia="Times New Roman" w:hAnsi="Times New Roman" w:cs="Times New Roman"/>
          <w:lang w:val="es-ES_tradnl"/>
        </w:rPr>
        <w:t xml:space="preserve">, </w:t>
      </w:r>
      <w:r w:rsidRPr="00EF3C94">
        <w:rPr>
          <w:rFonts w:ascii="Times New Roman" w:eastAsia="Times New Roman" w:hAnsi="Times New Roman" w:cs="Times New Roman"/>
          <w:lang w:val="es-ES_tradnl"/>
        </w:rPr>
        <w:t>2017)</w:t>
      </w:r>
    </w:p>
    <w:p w14:paraId="73EE87D5" w14:textId="268B7614" w:rsidR="008D3FA6" w:rsidRPr="00EF3C94" w:rsidRDefault="008D3FA6" w:rsidP="008D3FA6">
      <w:pPr>
        <w:pBdr>
          <w:top w:val="nil"/>
          <w:left w:val="nil"/>
          <w:bottom w:val="nil"/>
          <w:right w:val="nil"/>
          <w:between w:val="nil"/>
        </w:pBdr>
        <w:spacing w:after="200"/>
        <w:ind w:firstLine="567"/>
        <w:jc w:val="both"/>
        <w:rPr>
          <w:rFonts w:ascii="Times New Roman" w:eastAsia="Times New Roman" w:hAnsi="Times New Roman" w:cs="Times New Roman"/>
        </w:rPr>
      </w:pPr>
      <w:bookmarkStart w:id="22" w:name="_Hlk117514831"/>
      <w:bookmarkEnd w:id="21"/>
      <w:r w:rsidRPr="00EF3C94">
        <w:rPr>
          <w:rFonts w:ascii="Times New Roman" w:eastAsia="Times New Roman" w:hAnsi="Times New Roman" w:cs="Times New Roman"/>
        </w:rPr>
        <w:t xml:space="preserve">Las pérdidas a nivel internacional </w:t>
      </w:r>
      <w:r w:rsidR="0078594E" w:rsidRPr="00EF3C94">
        <w:rPr>
          <w:rFonts w:ascii="Times New Roman" w:eastAsia="Times New Roman" w:hAnsi="Times New Roman" w:cs="Times New Roman"/>
        </w:rPr>
        <w:t>también</w:t>
      </w:r>
      <w:r w:rsidRPr="00EF3C94">
        <w:rPr>
          <w:rFonts w:ascii="Times New Roman" w:eastAsia="Times New Roman" w:hAnsi="Times New Roman" w:cs="Times New Roman"/>
        </w:rPr>
        <w:t xml:space="preserve"> se reflejan en el país</w:t>
      </w:r>
      <w:r w:rsidR="00833E5C">
        <w:rPr>
          <w:rFonts w:ascii="Times New Roman" w:eastAsia="Times New Roman" w:hAnsi="Times New Roman" w:cs="Times New Roman"/>
        </w:rPr>
        <w:t>,</w:t>
      </w:r>
      <w:r w:rsidRPr="00EF3C94">
        <w:rPr>
          <w:rFonts w:ascii="Times New Roman" w:eastAsia="Times New Roman" w:hAnsi="Times New Roman" w:cs="Times New Roman"/>
        </w:rPr>
        <w:t xml:space="preserve"> donde se ha reportado que entre los </w:t>
      </w:r>
      <w:r w:rsidRPr="00EF3C94">
        <w:rPr>
          <w:rFonts w:ascii="Times New Roman" w:eastAsia="Times New Roman" w:hAnsi="Times New Roman" w:cs="Times New Roman"/>
          <w:lang w:val="es-ES"/>
        </w:rPr>
        <w:t>años 2003 al 2021 han ocurrido un total de 105,897 emergencias generando un total de 2,048,414 personas damnificadas</w:t>
      </w:r>
      <w:r w:rsidRPr="00EF3C94">
        <w:rPr>
          <w:rFonts w:ascii="Times New Roman" w:eastAsia="Times New Roman" w:hAnsi="Times New Roman" w:cs="Times New Roman"/>
          <w:vertAlign w:val="superscript"/>
          <w:lang w:val="es-ES"/>
        </w:rPr>
        <w:footnoteReference w:id="1"/>
      </w:r>
      <w:r w:rsidRPr="00EF3C94">
        <w:rPr>
          <w:rFonts w:ascii="Times New Roman" w:eastAsia="Times New Roman" w:hAnsi="Times New Roman" w:cs="Times New Roman"/>
          <w:lang w:val="es-ES"/>
        </w:rPr>
        <w:t xml:space="preserve"> y 18,417,373 personas afectadas</w:t>
      </w:r>
      <w:r w:rsidRPr="00EF3C94">
        <w:rPr>
          <w:rFonts w:ascii="Times New Roman" w:eastAsia="Times New Roman" w:hAnsi="Times New Roman" w:cs="Times New Roman"/>
          <w:vertAlign w:val="superscript"/>
          <w:lang w:val="es-ES"/>
        </w:rPr>
        <w:footnoteReference w:id="2"/>
      </w:r>
      <w:r w:rsidRPr="00EF3C94">
        <w:rPr>
          <w:rFonts w:ascii="Times New Roman" w:eastAsia="Times New Roman" w:hAnsi="Times New Roman" w:cs="Times New Roman"/>
          <w:lang w:val="es-ES"/>
        </w:rPr>
        <w:t xml:space="preserve">. Asimismo, se ha presentado daños en 1,675,508 viviendas afectadas y daños en 2,411,108 hectáreas de cultivo afectadas y 1,297,570 hectáreas perdidas.  </w:t>
      </w:r>
    </w:p>
    <w:p w14:paraId="3026CF1D" w14:textId="1F3DAD22" w:rsidR="008D3FA6" w:rsidRPr="00EF3C94" w:rsidRDefault="008D3FA6" w:rsidP="008D3FA6">
      <w:pPr>
        <w:pBdr>
          <w:top w:val="nil"/>
          <w:left w:val="nil"/>
          <w:bottom w:val="nil"/>
          <w:right w:val="nil"/>
          <w:between w:val="nil"/>
        </w:pBdr>
        <w:spacing w:after="200"/>
        <w:ind w:firstLine="567"/>
        <w:jc w:val="both"/>
        <w:rPr>
          <w:rFonts w:ascii="Times New Roman" w:eastAsia="Times New Roman" w:hAnsi="Times New Roman" w:cs="Times New Roman"/>
        </w:rPr>
      </w:pPr>
      <w:bookmarkStart w:id="23" w:name="_Hlk117514874"/>
      <w:bookmarkEnd w:id="22"/>
      <w:r w:rsidRPr="00EF3C94">
        <w:rPr>
          <w:rFonts w:ascii="Times New Roman" w:eastAsia="Times New Roman" w:hAnsi="Times New Roman" w:cs="Times New Roman"/>
          <w:lang w:val="es-ES"/>
        </w:rPr>
        <w:t xml:space="preserve">En este periodo entre los eventos que causaron mayores daños en el país es el sismo de Pisco del año 2007 y el Fenómeno El Niño del 2017.  La presencia de estos fenómenos de origen natural que pueden ocasionar perdidas se debe porque el </w:t>
      </w:r>
      <w:r w:rsidRPr="00EF3C94">
        <w:rPr>
          <w:rFonts w:ascii="Times New Roman" w:eastAsia="Times New Roman" w:hAnsi="Times New Roman" w:cs="Times New Roman"/>
        </w:rPr>
        <w:t xml:space="preserve">Perú está ubicado geográficamente en el filo sur oriental del océano Pacifico, </w:t>
      </w:r>
      <w:r w:rsidRPr="00EF3C94">
        <w:rPr>
          <w:rFonts w:ascii="Times New Roman" w:eastAsia="Times New Roman" w:hAnsi="Times New Roman" w:cs="Times New Roman"/>
        </w:rPr>
        <w:lastRenderedPageBreak/>
        <w:t xml:space="preserve">zona altamente sísmica y forma parte de lo que se conoce como “Círculo de Fuego del Pacifico”; además, el país se </w:t>
      </w:r>
      <w:r w:rsidR="00B12891">
        <w:rPr>
          <w:rFonts w:ascii="Times New Roman" w:eastAsia="Times New Roman" w:hAnsi="Times New Roman" w:cs="Times New Roman"/>
        </w:rPr>
        <w:t>ubica</w:t>
      </w:r>
      <w:r w:rsidRPr="00EF3C94">
        <w:rPr>
          <w:rFonts w:ascii="Times New Roman" w:eastAsia="Times New Roman" w:hAnsi="Times New Roman" w:cs="Times New Roman"/>
        </w:rPr>
        <w:t xml:space="preserve"> en la </w:t>
      </w:r>
      <w:r w:rsidR="00B12891" w:rsidRPr="00EF3C94">
        <w:rPr>
          <w:rFonts w:ascii="Times New Roman" w:eastAsia="Times New Roman" w:hAnsi="Times New Roman" w:cs="Times New Roman"/>
        </w:rPr>
        <w:t>zona</w:t>
      </w:r>
      <w:r w:rsidRPr="00EF3C94">
        <w:rPr>
          <w:rFonts w:ascii="Times New Roman" w:eastAsia="Times New Roman" w:hAnsi="Times New Roman" w:cs="Times New Roman"/>
        </w:rPr>
        <w:t xml:space="preserve"> tropical de América del Sur (</w:t>
      </w:r>
      <w:r w:rsidR="00B12891">
        <w:rPr>
          <w:rFonts w:ascii="Times New Roman" w:eastAsia="Times New Roman" w:hAnsi="Times New Roman" w:cs="Times New Roman"/>
        </w:rPr>
        <w:t xml:space="preserve">área </w:t>
      </w:r>
      <w:r w:rsidRPr="00EF3C94">
        <w:rPr>
          <w:rFonts w:ascii="Times New Roman" w:eastAsia="Times New Roman" w:hAnsi="Times New Roman" w:cs="Times New Roman"/>
        </w:rPr>
        <w:t xml:space="preserve">expuesta al fenómeno “El Niño”) y la Cordillera de los Andes que producen variedades de microclimas (Sato Onuma, 2012). </w:t>
      </w:r>
    </w:p>
    <w:p w14:paraId="16249A71" w14:textId="776AB4A2" w:rsidR="008D3FA6" w:rsidRPr="00EF3C94" w:rsidRDefault="008D3FA6" w:rsidP="00633D17">
      <w:pPr>
        <w:pBdr>
          <w:top w:val="nil"/>
          <w:left w:val="nil"/>
          <w:bottom w:val="nil"/>
          <w:right w:val="nil"/>
          <w:between w:val="nil"/>
        </w:pBdr>
        <w:spacing w:after="200"/>
        <w:ind w:firstLine="567"/>
        <w:jc w:val="both"/>
        <w:rPr>
          <w:rFonts w:ascii="Times New Roman" w:eastAsia="Times New Roman" w:hAnsi="Times New Roman" w:cs="Times New Roman"/>
        </w:rPr>
      </w:pPr>
      <w:bookmarkStart w:id="24" w:name="_Hlk117514915"/>
      <w:bookmarkEnd w:id="23"/>
      <w:r w:rsidRPr="00EF3C94">
        <w:rPr>
          <w:rFonts w:ascii="Times New Roman" w:eastAsia="Times New Roman" w:hAnsi="Times New Roman" w:cs="Times New Roman"/>
        </w:rPr>
        <w:t xml:space="preserve">Ante este panorama la </w:t>
      </w:r>
      <w:r w:rsidR="00E96C4A" w:rsidRPr="00EF3C94">
        <w:rPr>
          <w:rFonts w:ascii="Times New Roman" w:eastAsia="Times New Roman" w:hAnsi="Times New Roman" w:cs="Times New Roman"/>
        </w:rPr>
        <w:t>42</w:t>
      </w:r>
      <w:r w:rsidR="00C121AD" w:rsidRPr="00EF3C94">
        <w:rPr>
          <w:rFonts w:ascii="Times New Roman" w:eastAsia="Times New Roman" w:hAnsi="Times New Roman" w:cs="Times New Roman"/>
        </w:rPr>
        <w:t>ª</w:t>
      </w:r>
      <w:r w:rsidR="00E96C4A" w:rsidRPr="00EF3C94">
        <w:rPr>
          <w:rFonts w:ascii="Times New Roman" w:eastAsia="Times New Roman" w:hAnsi="Times New Roman" w:cs="Times New Roman"/>
        </w:rPr>
        <w:t xml:space="preserve"> </w:t>
      </w:r>
      <w:r w:rsidRPr="00EF3C94">
        <w:rPr>
          <w:rFonts w:ascii="Times New Roman" w:eastAsia="Times New Roman" w:hAnsi="Times New Roman" w:cs="Times New Roman"/>
        </w:rPr>
        <w:t>Asamblea General de las Naciones Unidas</w:t>
      </w:r>
      <w:r w:rsidR="00B12891">
        <w:rPr>
          <w:rFonts w:ascii="Times New Roman" w:eastAsia="Times New Roman" w:hAnsi="Times New Roman" w:cs="Times New Roman"/>
        </w:rPr>
        <w:t xml:space="preserve">, en </w:t>
      </w:r>
      <w:r w:rsidRPr="00EF3C94">
        <w:rPr>
          <w:rFonts w:ascii="Times New Roman" w:eastAsia="Times New Roman" w:hAnsi="Times New Roman" w:cs="Times New Roman"/>
        </w:rPr>
        <w:t xml:space="preserve">el ll de </w:t>
      </w:r>
      <w:r w:rsidR="00002FED" w:rsidRPr="00EF3C94">
        <w:rPr>
          <w:rFonts w:ascii="Times New Roman" w:eastAsia="Times New Roman" w:hAnsi="Times New Roman" w:cs="Times New Roman"/>
        </w:rPr>
        <w:t>diciembre</w:t>
      </w:r>
      <w:r w:rsidRPr="00EF3C94">
        <w:rPr>
          <w:rFonts w:ascii="Times New Roman" w:eastAsia="Times New Roman" w:hAnsi="Times New Roman" w:cs="Times New Roman"/>
        </w:rPr>
        <w:t xml:space="preserve"> de 1987 </w:t>
      </w:r>
      <w:r w:rsidR="00C121AD" w:rsidRPr="00EF3C94">
        <w:rPr>
          <w:rFonts w:ascii="Times New Roman" w:eastAsia="Times New Roman" w:hAnsi="Times New Roman" w:cs="Times New Roman"/>
        </w:rPr>
        <w:t xml:space="preserve">mediante la </w:t>
      </w:r>
      <w:r w:rsidRPr="00EF3C94">
        <w:rPr>
          <w:rFonts w:ascii="Times New Roman" w:eastAsia="Times New Roman" w:hAnsi="Times New Roman" w:cs="Times New Roman"/>
        </w:rPr>
        <w:t xml:space="preserve">Resolución 169 </w:t>
      </w:r>
      <w:r w:rsidR="00C121AD" w:rsidRPr="00EF3C94">
        <w:rPr>
          <w:rFonts w:ascii="Times New Roman" w:eastAsia="Times New Roman" w:hAnsi="Times New Roman" w:cs="Times New Roman"/>
        </w:rPr>
        <w:t>se proclamó</w:t>
      </w:r>
      <w:r w:rsidR="00633D17" w:rsidRPr="00EF3C94">
        <w:rPr>
          <w:rFonts w:ascii="Times New Roman" w:eastAsia="Times New Roman" w:hAnsi="Times New Roman" w:cs="Times New Roman"/>
        </w:rPr>
        <w:t xml:space="preserve"> a la década de los años </w:t>
      </w:r>
      <w:r w:rsidRPr="00EF3C94">
        <w:rPr>
          <w:rFonts w:ascii="Times New Roman" w:eastAsia="Times New Roman" w:hAnsi="Times New Roman" w:cs="Times New Roman"/>
        </w:rPr>
        <w:t>1990 y 1999 como el Decenio Internacional para la Reducción de los Desastres Naturales (DIRDN)</w:t>
      </w:r>
      <w:r w:rsidR="00257733" w:rsidRPr="00EF3C94">
        <w:rPr>
          <w:rFonts w:ascii="Times New Roman" w:eastAsia="Times New Roman" w:hAnsi="Times New Roman" w:cs="Times New Roman"/>
        </w:rPr>
        <w:t xml:space="preserve"> donde </w:t>
      </w:r>
      <w:r w:rsidRPr="00EF3C94">
        <w:rPr>
          <w:rFonts w:ascii="Times New Roman" w:eastAsia="Times New Roman" w:hAnsi="Times New Roman" w:cs="Times New Roman"/>
        </w:rPr>
        <w:t xml:space="preserve">varios expertos de diversos campos crearon el marco global para </w:t>
      </w:r>
      <w:r w:rsidR="00C121AD" w:rsidRPr="00EF3C94">
        <w:rPr>
          <w:rFonts w:ascii="Times New Roman" w:eastAsia="Times New Roman" w:hAnsi="Times New Roman" w:cs="Times New Roman"/>
        </w:rPr>
        <w:t xml:space="preserve">la gestión del riesgo de desastres donde se definieron </w:t>
      </w:r>
      <w:r w:rsidRPr="00EF3C94">
        <w:rPr>
          <w:rFonts w:ascii="Times New Roman" w:eastAsia="Times New Roman" w:hAnsi="Times New Roman" w:cs="Times New Roman"/>
        </w:rPr>
        <w:t xml:space="preserve"> conceptos como el </w:t>
      </w:r>
      <w:r w:rsidR="00C121AD" w:rsidRPr="00EF3C94">
        <w:rPr>
          <w:rFonts w:ascii="Times New Roman" w:eastAsia="Times New Roman" w:hAnsi="Times New Roman" w:cs="Times New Roman"/>
        </w:rPr>
        <w:t xml:space="preserve">peligro o </w:t>
      </w:r>
      <w:r w:rsidRPr="00EF3C94">
        <w:rPr>
          <w:rFonts w:ascii="Times New Roman" w:eastAsia="Times New Roman" w:hAnsi="Times New Roman" w:cs="Times New Roman"/>
        </w:rPr>
        <w:t xml:space="preserve">amenaza, </w:t>
      </w:r>
      <w:r w:rsidR="00C121AD" w:rsidRPr="00EF3C94">
        <w:rPr>
          <w:rFonts w:ascii="Times New Roman" w:eastAsia="Times New Roman" w:hAnsi="Times New Roman" w:cs="Times New Roman"/>
        </w:rPr>
        <w:t xml:space="preserve">la </w:t>
      </w:r>
      <w:r w:rsidRPr="00EF3C94">
        <w:rPr>
          <w:rFonts w:ascii="Times New Roman" w:eastAsia="Times New Roman" w:hAnsi="Times New Roman" w:cs="Times New Roman"/>
        </w:rPr>
        <w:t xml:space="preserve">exposición </w:t>
      </w:r>
      <w:r w:rsidR="00C121AD" w:rsidRPr="00EF3C94">
        <w:rPr>
          <w:rFonts w:ascii="Times New Roman" w:eastAsia="Times New Roman" w:hAnsi="Times New Roman" w:cs="Times New Roman"/>
        </w:rPr>
        <w:t xml:space="preserve">y el </w:t>
      </w:r>
      <w:r w:rsidRPr="00EF3C94">
        <w:rPr>
          <w:rFonts w:ascii="Times New Roman" w:eastAsia="Times New Roman" w:hAnsi="Times New Roman" w:cs="Times New Roman"/>
        </w:rPr>
        <w:t xml:space="preserve">riesgo, así como </w:t>
      </w:r>
      <w:r w:rsidR="00C121AD" w:rsidRPr="00EF3C94">
        <w:rPr>
          <w:rFonts w:ascii="Times New Roman" w:eastAsia="Times New Roman" w:hAnsi="Times New Roman" w:cs="Times New Roman"/>
        </w:rPr>
        <w:t xml:space="preserve">recalco la </w:t>
      </w:r>
      <w:r w:rsidRPr="00EF3C94">
        <w:rPr>
          <w:rFonts w:ascii="Times New Roman" w:eastAsia="Times New Roman" w:hAnsi="Times New Roman" w:cs="Times New Roman"/>
        </w:rPr>
        <w:t xml:space="preserve">necesidad de reducir el riesgo de desastre para un desarrollo más sostenible. </w:t>
      </w:r>
      <w:r w:rsidR="00633D17" w:rsidRPr="00EF3C94">
        <w:rPr>
          <w:rFonts w:ascii="Times New Roman" w:eastAsia="Times New Roman" w:hAnsi="Times New Roman" w:cs="Times New Roman"/>
        </w:rPr>
        <w:t xml:space="preserve"> </w:t>
      </w:r>
    </w:p>
    <w:p w14:paraId="15458FBC" w14:textId="4FC1CBBE" w:rsidR="008D3FA6" w:rsidRPr="00EF3C94" w:rsidRDefault="00633D17" w:rsidP="00633D17">
      <w:pPr>
        <w:pBdr>
          <w:top w:val="nil"/>
          <w:left w:val="nil"/>
          <w:bottom w:val="nil"/>
          <w:right w:val="nil"/>
          <w:between w:val="nil"/>
        </w:pBdr>
        <w:spacing w:after="200"/>
        <w:ind w:firstLine="567"/>
        <w:jc w:val="both"/>
        <w:rPr>
          <w:rFonts w:ascii="Times New Roman" w:eastAsia="Times New Roman" w:hAnsi="Times New Roman" w:cs="Times New Roman"/>
        </w:rPr>
      </w:pPr>
      <w:bookmarkStart w:id="25" w:name="_Hlk117514927"/>
      <w:bookmarkEnd w:id="24"/>
      <w:r w:rsidRPr="00EF3C94">
        <w:rPr>
          <w:rFonts w:ascii="Times New Roman" w:eastAsia="Times New Roman" w:hAnsi="Times New Roman" w:cs="Times New Roman"/>
        </w:rPr>
        <w:t xml:space="preserve">Posterior a este decenio en </w:t>
      </w:r>
      <w:r w:rsidR="008D3FA6" w:rsidRPr="00EF3C94">
        <w:rPr>
          <w:rFonts w:ascii="Times New Roman" w:eastAsia="Times New Roman" w:hAnsi="Times New Roman" w:cs="Times New Roman"/>
        </w:rPr>
        <w:t xml:space="preserve">enero de 2005, la Oficina de las Naciones Unidas para la Reducción del Riesgo de Desastres (UNISDR) y el Gobierno de Japón acogieron la Conferencia Mundial sobre la Reducción de Desastres (WCDR) </w:t>
      </w:r>
      <w:r w:rsidRPr="00EF3C94">
        <w:rPr>
          <w:rFonts w:ascii="Times New Roman" w:eastAsia="Times New Roman" w:hAnsi="Times New Roman" w:cs="Times New Roman"/>
        </w:rPr>
        <w:t xml:space="preserve">donde se aprobó </w:t>
      </w:r>
      <w:r w:rsidR="00D91F11" w:rsidRPr="00EF3C94">
        <w:rPr>
          <w:rFonts w:ascii="Times New Roman" w:eastAsia="Times New Roman" w:hAnsi="Times New Roman" w:cs="Times New Roman"/>
        </w:rPr>
        <w:t>el</w:t>
      </w:r>
      <w:r w:rsidR="008D3FA6" w:rsidRPr="00EF3C94">
        <w:rPr>
          <w:rFonts w:ascii="Times New Roman" w:eastAsia="Times New Roman" w:hAnsi="Times New Roman" w:cs="Times New Roman"/>
        </w:rPr>
        <w:t xml:space="preserve"> Marco de Acción de Hyogo (MAH) 2005-2015 respa</w:t>
      </w:r>
      <w:r w:rsidR="00D91F11" w:rsidRPr="00EF3C94">
        <w:rPr>
          <w:rFonts w:ascii="Times New Roman" w:eastAsia="Times New Roman" w:hAnsi="Times New Roman" w:cs="Times New Roman"/>
        </w:rPr>
        <w:t>ldado por 168 Estados Miembros. Este Marco recoge los esfuerzos</w:t>
      </w:r>
      <w:r w:rsidR="008D3FA6" w:rsidRPr="00EF3C94">
        <w:rPr>
          <w:rFonts w:ascii="Times New Roman" w:eastAsia="Times New Roman" w:hAnsi="Times New Roman" w:cs="Times New Roman"/>
        </w:rPr>
        <w:t xml:space="preserve"> nacionales y locales para reducir el riesgo de desastres, fortaleciendo al mismo tiempo la cooperación internacional mediante la elaboración de estrategias,</w:t>
      </w:r>
      <w:r w:rsidR="00D91F11" w:rsidRPr="00EF3C94">
        <w:rPr>
          <w:rFonts w:ascii="Times New Roman" w:eastAsia="Times New Roman" w:hAnsi="Times New Roman" w:cs="Times New Roman"/>
        </w:rPr>
        <w:t xml:space="preserve"> planes y políticas regionales q</w:t>
      </w:r>
      <w:r w:rsidR="00C121AD" w:rsidRPr="00EF3C94">
        <w:rPr>
          <w:rFonts w:ascii="Times New Roman" w:eastAsia="Times New Roman" w:hAnsi="Times New Roman" w:cs="Times New Roman"/>
        </w:rPr>
        <w:t xml:space="preserve">ue </w:t>
      </w:r>
      <w:r w:rsidR="00D91F11" w:rsidRPr="00EF3C94">
        <w:rPr>
          <w:rFonts w:ascii="Times New Roman" w:eastAsia="Times New Roman" w:hAnsi="Times New Roman" w:cs="Times New Roman"/>
        </w:rPr>
        <w:t xml:space="preserve">se va recoger en la </w:t>
      </w:r>
      <w:r w:rsidR="00C121AD" w:rsidRPr="00EF3C94">
        <w:rPr>
          <w:rFonts w:ascii="Times New Roman" w:eastAsia="Times New Roman" w:hAnsi="Times New Roman" w:cs="Times New Roman"/>
        </w:rPr>
        <w:t>implementación</w:t>
      </w:r>
      <w:r w:rsidR="00D91F11" w:rsidRPr="00EF3C94">
        <w:rPr>
          <w:rFonts w:ascii="Times New Roman" w:eastAsia="Times New Roman" w:hAnsi="Times New Roman" w:cs="Times New Roman"/>
        </w:rPr>
        <w:t xml:space="preserve"> de 5 prioridades de acción: </w:t>
      </w:r>
    </w:p>
    <w:p w14:paraId="33EBD44B" w14:textId="77777777" w:rsidR="00D91F11" w:rsidRPr="00EF3C94" w:rsidRDefault="00D91F11" w:rsidP="00D91F11">
      <w:pPr>
        <w:pStyle w:val="Prrafodelista"/>
        <w:numPr>
          <w:ilvl w:val="0"/>
          <w:numId w:val="29"/>
        </w:numPr>
        <w:pBdr>
          <w:top w:val="nil"/>
          <w:left w:val="nil"/>
          <w:bottom w:val="nil"/>
          <w:right w:val="nil"/>
          <w:between w:val="nil"/>
        </w:pBdr>
        <w:spacing w:after="0"/>
        <w:jc w:val="both"/>
        <w:rPr>
          <w:rFonts w:ascii="Times New Roman" w:eastAsia="Times New Roman" w:hAnsi="Times New Roman" w:cs="Times New Roman"/>
        </w:rPr>
      </w:pPr>
      <w:bookmarkStart w:id="26" w:name="_Hlk117514950"/>
      <w:bookmarkEnd w:id="25"/>
      <w:r w:rsidRPr="00EF3C94">
        <w:rPr>
          <w:rFonts w:ascii="Times New Roman" w:eastAsia="Times New Roman" w:hAnsi="Times New Roman" w:cs="Times New Roman"/>
        </w:rPr>
        <w:t>Velar por que la reducción de los riesgos de desastre constituya una prioridad nacional y local dotada de una sólida base institucional de aplicación.</w:t>
      </w:r>
    </w:p>
    <w:p w14:paraId="793C152A" w14:textId="77777777" w:rsidR="00D91F11" w:rsidRPr="00EF3C94" w:rsidRDefault="00D91F11" w:rsidP="00D91F11">
      <w:pPr>
        <w:pStyle w:val="Prrafodelista"/>
        <w:numPr>
          <w:ilvl w:val="0"/>
          <w:numId w:val="29"/>
        </w:numPr>
        <w:pBdr>
          <w:top w:val="nil"/>
          <w:left w:val="nil"/>
          <w:bottom w:val="nil"/>
          <w:right w:val="nil"/>
          <w:between w:val="nil"/>
        </w:pBdr>
        <w:spacing w:after="0"/>
        <w:jc w:val="both"/>
        <w:rPr>
          <w:rFonts w:ascii="Times New Roman" w:eastAsia="Times New Roman" w:hAnsi="Times New Roman" w:cs="Times New Roman"/>
        </w:rPr>
      </w:pPr>
      <w:r w:rsidRPr="00EF3C94">
        <w:rPr>
          <w:rFonts w:ascii="Times New Roman" w:eastAsia="Times New Roman" w:hAnsi="Times New Roman" w:cs="Times New Roman"/>
        </w:rPr>
        <w:t xml:space="preserve">Identificar, evaluar y vigilar los riesgos de desastre y potenciar la alerta temprana. </w:t>
      </w:r>
    </w:p>
    <w:p w14:paraId="1104D6E2" w14:textId="77777777" w:rsidR="00D91F11" w:rsidRPr="00EF3C94" w:rsidRDefault="00D91F11" w:rsidP="00D91F11">
      <w:pPr>
        <w:pStyle w:val="Prrafodelista"/>
        <w:numPr>
          <w:ilvl w:val="0"/>
          <w:numId w:val="29"/>
        </w:numPr>
        <w:pBdr>
          <w:top w:val="nil"/>
          <w:left w:val="nil"/>
          <w:bottom w:val="nil"/>
          <w:right w:val="nil"/>
          <w:between w:val="nil"/>
        </w:pBdr>
        <w:spacing w:after="0"/>
        <w:jc w:val="both"/>
        <w:rPr>
          <w:rFonts w:ascii="Times New Roman" w:eastAsia="Times New Roman" w:hAnsi="Times New Roman" w:cs="Times New Roman"/>
        </w:rPr>
      </w:pPr>
      <w:r w:rsidRPr="00EF3C94">
        <w:rPr>
          <w:rFonts w:ascii="Times New Roman" w:eastAsia="Times New Roman" w:hAnsi="Times New Roman" w:cs="Times New Roman"/>
        </w:rPr>
        <w:t xml:space="preserve">Utilizar los conocimientos, las innovaciones y la educación para crear una cultura de seguridad y de resiliencia a todo nivel. </w:t>
      </w:r>
    </w:p>
    <w:p w14:paraId="01B461DD" w14:textId="77777777" w:rsidR="00D91F11" w:rsidRPr="00EF3C94" w:rsidRDefault="00D91F11" w:rsidP="00D91F11">
      <w:pPr>
        <w:pStyle w:val="Prrafodelista"/>
        <w:numPr>
          <w:ilvl w:val="0"/>
          <w:numId w:val="29"/>
        </w:numPr>
        <w:pBdr>
          <w:top w:val="nil"/>
          <w:left w:val="nil"/>
          <w:bottom w:val="nil"/>
          <w:right w:val="nil"/>
          <w:between w:val="nil"/>
        </w:pBdr>
        <w:spacing w:after="0"/>
        <w:jc w:val="both"/>
        <w:rPr>
          <w:rFonts w:ascii="Times New Roman" w:eastAsia="Times New Roman" w:hAnsi="Times New Roman" w:cs="Times New Roman"/>
        </w:rPr>
      </w:pPr>
      <w:r w:rsidRPr="00EF3C94">
        <w:rPr>
          <w:rFonts w:ascii="Times New Roman" w:eastAsia="Times New Roman" w:hAnsi="Times New Roman" w:cs="Times New Roman"/>
        </w:rPr>
        <w:t xml:space="preserve">Reducir los factores de riesgo subyacentes. </w:t>
      </w:r>
    </w:p>
    <w:p w14:paraId="001B12E3" w14:textId="77777777" w:rsidR="00D91F11" w:rsidRPr="00EF3C94" w:rsidRDefault="00D91F11" w:rsidP="00D91F11">
      <w:pPr>
        <w:pStyle w:val="Prrafodelista"/>
        <w:numPr>
          <w:ilvl w:val="0"/>
          <w:numId w:val="29"/>
        </w:numPr>
        <w:pBdr>
          <w:top w:val="nil"/>
          <w:left w:val="nil"/>
          <w:bottom w:val="nil"/>
          <w:right w:val="nil"/>
          <w:between w:val="nil"/>
        </w:pBdr>
        <w:spacing w:after="0"/>
        <w:jc w:val="both"/>
        <w:rPr>
          <w:rFonts w:ascii="Times New Roman" w:eastAsia="Times New Roman" w:hAnsi="Times New Roman" w:cs="Times New Roman"/>
        </w:rPr>
      </w:pPr>
      <w:r w:rsidRPr="00EF3C94">
        <w:rPr>
          <w:rFonts w:ascii="Times New Roman" w:eastAsia="Times New Roman" w:hAnsi="Times New Roman" w:cs="Times New Roman"/>
        </w:rPr>
        <w:t>Fortalecer la preparación para casos de desastre a fin de asegurar una respuesta eficaz a todo nivel</w:t>
      </w:r>
    </w:p>
    <w:bookmarkEnd w:id="26"/>
    <w:p w14:paraId="0805E0CD" w14:textId="77777777" w:rsidR="00D91F11" w:rsidRPr="00EF3C94" w:rsidRDefault="00D91F11" w:rsidP="00633D17">
      <w:pPr>
        <w:pBdr>
          <w:top w:val="nil"/>
          <w:left w:val="nil"/>
          <w:bottom w:val="nil"/>
          <w:right w:val="nil"/>
          <w:between w:val="nil"/>
        </w:pBdr>
        <w:spacing w:after="200"/>
        <w:ind w:firstLine="567"/>
        <w:jc w:val="both"/>
        <w:rPr>
          <w:rFonts w:ascii="Times New Roman" w:eastAsia="Times New Roman" w:hAnsi="Times New Roman" w:cs="Times New Roman"/>
        </w:rPr>
      </w:pPr>
    </w:p>
    <w:p w14:paraId="2E5EAD52" w14:textId="28EB0A0F" w:rsidR="006E708C" w:rsidRPr="00B12891" w:rsidRDefault="00D91F11" w:rsidP="00B12891">
      <w:pPr>
        <w:pBdr>
          <w:top w:val="nil"/>
          <w:left w:val="nil"/>
          <w:bottom w:val="nil"/>
          <w:right w:val="nil"/>
          <w:between w:val="nil"/>
        </w:pBdr>
        <w:spacing w:after="200"/>
        <w:ind w:firstLine="567"/>
        <w:jc w:val="both"/>
        <w:rPr>
          <w:rFonts w:ascii="Times New Roman" w:eastAsia="Times New Roman" w:hAnsi="Times New Roman" w:cs="Times New Roman"/>
        </w:rPr>
      </w:pPr>
      <w:bookmarkStart w:id="27" w:name="_Hlk117514987"/>
      <w:r w:rsidRPr="00EF3C94">
        <w:rPr>
          <w:rFonts w:ascii="Times New Roman" w:eastAsia="Times New Roman" w:hAnsi="Times New Roman" w:cs="Times New Roman"/>
        </w:rPr>
        <w:lastRenderedPageBreak/>
        <w:t>Finalizando</w:t>
      </w:r>
      <w:r w:rsidR="0092060D" w:rsidRPr="00EF3C94">
        <w:rPr>
          <w:rFonts w:ascii="Times New Roman" w:eastAsia="Times New Roman" w:hAnsi="Times New Roman" w:cs="Times New Roman"/>
        </w:rPr>
        <w:t xml:space="preserve"> la vigencia del Marco de Hyogo, en</w:t>
      </w:r>
      <w:r w:rsidR="009E0D32" w:rsidRPr="00EF3C94">
        <w:rPr>
          <w:rFonts w:ascii="Times New Roman" w:eastAsia="Times New Roman" w:hAnsi="Times New Roman" w:cs="Times New Roman"/>
        </w:rPr>
        <w:t xml:space="preserve"> </w:t>
      </w:r>
      <w:r w:rsidR="0092060D" w:rsidRPr="00EF3C94">
        <w:rPr>
          <w:rFonts w:asciiTheme="minorHAnsi" w:hAnsiTheme="minorHAnsi" w:cstheme="minorHAnsi"/>
          <w:sz w:val="22"/>
          <w:szCs w:val="22"/>
          <w:lang w:eastAsia="en-US"/>
        </w:rPr>
        <w:t xml:space="preserve">la </w:t>
      </w:r>
      <w:r w:rsidR="0092060D" w:rsidRPr="001E46D5">
        <w:rPr>
          <w:rFonts w:asciiTheme="minorHAnsi" w:hAnsiTheme="minorHAnsi" w:cstheme="minorHAnsi"/>
          <w:sz w:val="22"/>
          <w:szCs w:val="22"/>
          <w:lang w:eastAsia="en-US"/>
        </w:rPr>
        <w:t>Tercera Conferencia de las Naciones Unidas sobre la Re</w:t>
      </w:r>
      <w:r w:rsidR="0092060D">
        <w:rPr>
          <w:rFonts w:asciiTheme="minorHAnsi" w:hAnsiTheme="minorHAnsi" w:cstheme="minorHAnsi"/>
          <w:sz w:val="22"/>
          <w:szCs w:val="22"/>
          <w:lang w:eastAsia="en-US"/>
        </w:rPr>
        <w:t xml:space="preserve">ducción del Riesgo de Desastres se aprueba el </w:t>
      </w:r>
      <w:r w:rsidR="008D3FA6" w:rsidRPr="001E46D5">
        <w:rPr>
          <w:rFonts w:asciiTheme="minorHAnsi" w:hAnsiTheme="minorHAnsi" w:cstheme="minorHAnsi"/>
          <w:sz w:val="22"/>
          <w:szCs w:val="22"/>
          <w:lang w:eastAsia="en-US"/>
        </w:rPr>
        <w:t>Marco de Sendai para la re</w:t>
      </w:r>
      <w:r w:rsidR="009158D1">
        <w:rPr>
          <w:rFonts w:asciiTheme="minorHAnsi" w:hAnsiTheme="minorHAnsi" w:cstheme="minorHAnsi"/>
          <w:sz w:val="22"/>
          <w:szCs w:val="22"/>
          <w:lang w:eastAsia="en-US"/>
        </w:rPr>
        <w:t xml:space="preserve">ducción del riesgo de desastres. </w:t>
      </w:r>
      <w:r w:rsidR="009158D1">
        <w:rPr>
          <w:rFonts w:ascii="Times New Roman" w:eastAsia="Times New Roman" w:hAnsi="Times New Roman" w:cs="Times New Roman"/>
          <w:color w:val="000000"/>
        </w:rPr>
        <w:t xml:space="preserve">El Marco de Sendai </w:t>
      </w:r>
      <w:r w:rsidR="00B12891">
        <w:rPr>
          <w:rFonts w:ascii="Times New Roman" w:eastAsia="Times New Roman" w:hAnsi="Times New Roman" w:cs="Times New Roman"/>
          <w:color w:val="000000"/>
        </w:rPr>
        <w:t xml:space="preserve">se fundamenta en compendios que buscan garantizar la continuidad de los trabajos iniciados por los Estados y otras instituciones en relación con </w:t>
      </w:r>
      <w:r w:rsidR="00031266" w:rsidRPr="00EF3C94">
        <w:rPr>
          <w:rFonts w:ascii="Times New Roman" w:eastAsia="Times New Roman" w:hAnsi="Times New Roman" w:cs="Times New Roman"/>
        </w:rPr>
        <w:t xml:space="preserve">el Marco de Acción de Hyogo, y </w:t>
      </w:r>
      <w:r w:rsidR="00B12891">
        <w:rPr>
          <w:rFonts w:ascii="Times New Roman" w:eastAsia="Times New Roman" w:hAnsi="Times New Roman" w:cs="Times New Roman"/>
        </w:rPr>
        <w:t xml:space="preserve">incluye un conjunto de </w:t>
      </w:r>
      <w:r w:rsidR="00031266" w:rsidRPr="00EF3C94">
        <w:rPr>
          <w:rFonts w:ascii="Times New Roman" w:eastAsia="Times New Roman" w:hAnsi="Times New Roman" w:cs="Times New Roman"/>
        </w:rPr>
        <w:t xml:space="preserve">innovaciones </w:t>
      </w:r>
      <w:r w:rsidR="00B12891">
        <w:rPr>
          <w:rFonts w:ascii="Times New Roman" w:eastAsia="Times New Roman" w:hAnsi="Times New Roman" w:cs="Times New Roman"/>
        </w:rPr>
        <w:t xml:space="preserve">que serán sometidas a </w:t>
      </w:r>
      <w:r w:rsidR="00031266" w:rsidRPr="00EF3C94">
        <w:rPr>
          <w:rFonts w:ascii="Times New Roman" w:eastAsia="Times New Roman" w:hAnsi="Times New Roman" w:cs="Times New Roman"/>
        </w:rPr>
        <w:t xml:space="preserve">consultas y las negociaciones que se desarrollaron para la implementación del presente marco. </w:t>
      </w:r>
      <w:r w:rsidR="003B2154" w:rsidRPr="00EF3C94">
        <w:rPr>
          <w:rFonts w:ascii="Times New Roman" w:eastAsia="Times New Roman" w:hAnsi="Times New Roman" w:cs="Times New Roman"/>
        </w:rPr>
        <w:t xml:space="preserve">El cambio </w:t>
      </w:r>
      <w:r w:rsidR="00B12891">
        <w:rPr>
          <w:rFonts w:ascii="Times New Roman" w:eastAsia="Times New Roman" w:hAnsi="Times New Roman" w:cs="Times New Roman"/>
        </w:rPr>
        <w:t>más interesante</w:t>
      </w:r>
      <w:r w:rsidR="003B2154" w:rsidRPr="00EF3C94">
        <w:rPr>
          <w:rFonts w:ascii="Times New Roman" w:eastAsia="Times New Roman" w:hAnsi="Times New Roman" w:cs="Times New Roman"/>
        </w:rPr>
        <w:t xml:space="preserve"> entre estos Marcos es </w:t>
      </w:r>
      <w:r w:rsidR="00031266" w:rsidRPr="00EF3C94">
        <w:rPr>
          <w:rFonts w:ascii="Times New Roman" w:eastAsia="Times New Roman" w:hAnsi="Times New Roman" w:cs="Times New Roman"/>
        </w:rPr>
        <w:t xml:space="preserve">el </w:t>
      </w:r>
      <w:r w:rsidR="00B12891">
        <w:rPr>
          <w:rFonts w:ascii="Times New Roman" w:eastAsia="Times New Roman" w:hAnsi="Times New Roman" w:cs="Times New Roman"/>
        </w:rPr>
        <w:t xml:space="preserve">notable énfasis que se le otorga a la </w:t>
      </w:r>
      <w:r w:rsidR="00031266" w:rsidRPr="00EF3C94">
        <w:rPr>
          <w:rFonts w:ascii="Times New Roman" w:eastAsia="Times New Roman" w:hAnsi="Times New Roman" w:cs="Times New Roman"/>
        </w:rPr>
        <w:t xml:space="preserve">gestión del riesgo de desastres </w:t>
      </w:r>
      <w:r w:rsidR="003B2154" w:rsidRPr="00EF3C94">
        <w:rPr>
          <w:rFonts w:ascii="Times New Roman" w:eastAsia="Times New Roman" w:hAnsi="Times New Roman" w:cs="Times New Roman"/>
        </w:rPr>
        <w:t xml:space="preserve">donde se sustenta </w:t>
      </w:r>
      <w:r w:rsidR="00031266" w:rsidRPr="00EF3C94">
        <w:rPr>
          <w:rFonts w:ascii="Times New Roman" w:eastAsia="Times New Roman" w:hAnsi="Times New Roman" w:cs="Times New Roman"/>
        </w:rPr>
        <w:t>la definici</w:t>
      </w:r>
      <w:r w:rsidR="009158D1" w:rsidRPr="00EF3C94">
        <w:rPr>
          <w:rFonts w:ascii="Times New Roman" w:eastAsia="Times New Roman" w:hAnsi="Times New Roman" w:cs="Times New Roman"/>
        </w:rPr>
        <w:t xml:space="preserve">ón de </w:t>
      </w:r>
      <w:r w:rsidR="00B12891">
        <w:rPr>
          <w:rFonts w:ascii="Times New Roman" w:eastAsia="Times New Roman" w:hAnsi="Times New Roman" w:cs="Times New Roman"/>
        </w:rPr>
        <w:t>7</w:t>
      </w:r>
      <w:r w:rsidR="009158D1" w:rsidRPr="00EF3C94">
        <w:rPr>
          <w:rFonts w:ascii="Times New Roman" w:eastAsia="Times New Roman" w:hAnsi="Times New Roman" w:cs="Times New Roman"/>
        </w:rPr>
        <w:t xml:space="preserve"> objetivos mundiales y un conjunto de principios rectores. </w:t>
      </w:r>
      <w:r w:rsidR="00031266" w:rsidRPr="00EF3C94">
        <w:rPr>
          <w:rFonts w:ascii="Times New Roman" w:eastAsia="Times New Roman" w:hAnsi="Times New Roman" w:cs="Times New Roman"/>
        </w:rPr>
        <w:t xml:space="preserve"> </w:t>
      </w:r>
      <w:r w:rsidR="009158D1" w:rsidRPr="00EF3C94">
        <w:rPr>
          <w:rFonts w:ascii="Times New Roman" w:eastAsia="Times New Roman" w:hAnsi="Times New Roman" w:cs="Times New Roman"/>
        </w:rPr>
        <w:t xml:space="preserve">El Marco de Sendai espera como resultado </w:t>
      </w:r>
      <w:r w:rsidR="003313DC">
        <w:rPr>
          <w:rFonts w:ascii="Times New Roman" w:eastAsia="Times New Roman" w:hAnsi="Times New Roman" w:cs="Times New Roman"/>
        </w:rPr>
        <w:t>lograr el control y disminución</w:t>
      </w:r>
      <w:r w:rsidR="00031266" w:rsidRPr="00EF3C94">
        <w:rPr>
          <w:rFonts w:ascii="Times New Roman" w:eastAsia="Times New Roman" w:hAnsi="Times New Roman" w:cs="Times New Roman"/>
        </w:rPr>
        <w:t xml:space="preserve"> del riesgo de desastres </w:t>
      </w:r>
      <w:r w:rsidR="009158D1" w:rsidRPr="00EF3C94">
        <w:rPr>
          <w:rFonts w:ascii="Times New Roman" w:eastAsia="Times New Roman" w:hAnsi="Times New Roman" w:cs="Times New Roman"/>
        </w:rPr>
        <w:t>para ello ha definido</w:t>
      </w:r>
      <w:r w:rsidR="00031266" w:rsidRPr="00EF3C94">
        <w:rPr>
          <w:rFonts w:ascii="Times New Roman" w:eastAsia="Times New Roman" w:hAnsi="Times New Roman" w:cs="Times New Roman"/>
        </w:rPr>
        <w:t xml:space="preserve"> un objetivo centrado en </w:t>
      </w:r>
      <w:r w:rsidR="009158D1" w:rsidRPr="00EF3C94">
        <w:rPr>
          <w:rFonts w:ascii="Times New Roman" w:eastAsia="Times New Roman" w:hAnsi="Times New Roman" w:cs="Times New Roman"/>
        </w:rPr>
        <w:t xml:space="preserve">reducir el riesgo existente y </w:t>
      </w:r>
      <w:r w:rsidR="00031266" w:rsidRPr="00EF3C94">
        <w:rPr>
          <w:rFonts w:ascii="Times New Roman" w:eastAsia="Times New Roman" w:hAnsi="Times New Roman" w:cs="Times New Roman"/>
        </w:rPr>
        <w:t>evitar q</w:t>
      </w:r>
      <w:r w:rsidR="009158D1" w:rsidRPr="00EF3C94">
        <w:rPr>
          <w:rFonts w:ascii="Times New Roman" w:eastAsia="Times New Roman" w:hAnsi="Times New Roman" w:cs="Times New Roman"/>
        </w:rPr>
        <w:t xml:space="preserve">ue se produzcan nuevos riesgos generando que se refuerce la resiliencia. El marco al igual que el anterior remarca </w:t>
      </w:r>
      <w:r w:rsidR="00031266" w:rsidRPr="00EF3C94">
        <w:rPr>
          <w:rFonts w:ascii="Times New Roman" w:eastAsia="Times New Roman" w:hAnsi="Times New Roman" w:cs="Times New Roman"/>
        </w:rPr>
        <w:t>la responsabil</w:t>
      </w:r>
      <w:r w:rsidR="009158D1" w:rsidRPr="00EF3C94">
        <w:rPr>
          <w:rFonts w:ascii="Times New Roman" w:eastAsia="Times New Roman" w:hAnsi="Times New Roman" w:cs="Times New Roman"/>
        </w:rPr>
        <w:t xml:space="preserve">idad </w:t>
      </w:r>
      <w:r w:rsidR="00031266" w:rsidRPr="00EF3C94">
        <w:rPr>
          <w:rFonts w:ascii="Times New Roman" w:eastAsia="Times New Roman" w:hAnsi="Times New Roman" w:cs="Times New Roman"/>
        </w:rPr>
        <w:t>de los Estados</w:t>
      </w:r>
      <w:r w:rsidR="003313DC">
        <w:rPr>
          <w:rFonts w:ascii="Times New Roman" w:eastAsia="Times New Roman" w:hAnsi="Times New Roman" w:cs="Times New Roman"/>
        </w:rPr>
        <w:t>, en las gestiones de prevención y reducción de</w:t>
      </w:r>
      <w:r w:rsidR="00031266" w:rsidRPr="00EF3C94">
        <w:rPr>
          <w:rFonts w:ascii="Times New Roman" w:eastAsia="Times New Roman" w:hAnsi="Times New Roman" w:cs="Times New Roman"/>
        </w:rPr>
        <w:t xml:space="preserve">l riesgo de desastres, y </w:t>
      </w:r>
      <w:r w:rsidR="003313DC">
        <w:rPr>
          <w:rFonts w:ascii="Times New Roman" w:eastAsia="Times New Roman" w:hAnsi="Times New Roman" w:cs="Times New Roman"/>
        </w:rPr>
        <w:t xml:space="preserve">donde se tipifica la participación de la población y demás instituciones estatales </w:t>
      </w:r>
      <w:r w:rsidR="005A524D" w:rsidRPr="00EF3C94">
        <w:rPr>
          <w:rFonts w:ascii="Times New Roman" w:eastAsia="Times New Roman" w:hAnsi="Times New Roman" w:cs="Times New Roman"/>
        </w:rPr>
        <w:t>(Naciones Unidas, 20</w:t>
      </w:r>
      <w:r w:rsidR="003B2154" w:rsidRPr="00EF3C94">
        <w:rPr>
          <w:rFonts w:ascii="Times New Roman" w:eastAsia="Times New Roman" w:hAnsi="Times New Roman" w:cs="Times New Roman"/>
        </w:rPr>
        <w:t>1</w:t>
      </w:r>
      <w:r w:rsidR="005A524D" w:rsidRPr="00EF3C94">
        <w:rPr>
          <w:rFonts w:ascii="Times New Roman" w:eastAsia="Times New Roman" w:hAnsi="Times New Roman" w:cs="Times New Roman"/>
        </w:rPr>
        <w:t>5</w:t>
      </w:r>
      <w:r w:rsidR="003B2154" w:rsidRPr="00EF3C94">
        <w:rPr>
          <w:rFonts w:ascii="Times New Roman" w:eastAsia="Times New Roman" w:hAnsi="Times New Roman" w:cs="Times New Roman"/>
        </w:rPr>
        <w:t>).</w:t>
      </w:r>
      <w:r w:rsidR="009158D1" w:rsidRPr="00EF3C94">
        <w:rPr>
          <w:rFonts w:ascii="Times New Roman" w:eastAsia="Times New Roman" w:hAnsi="Times New Roman" w:cs="Times New Roman"/>
        </w:rPr>
        <w:t xml:space="preserve"> Para el logro de los objetivos se ha definido en el Marco de Sendai, </w:t>
      </w:r>
      <w:r w:rsidR="003B2154" w:rsidRPr="00EF3C94">
        <w:rPr>
          <w:rFonts w:ascii="Times New Roman" w:eastAsia="Times New Roman" w:hAnsi="Times New Roman" w:cs="Times New Roman"/>
        </w:rPr>
        <w:t>4 prioridades que se señalan a continuación</w:t>
      </w:r>
      <w:r w:rsidR="00EF6DB8" w:rsidRPr="00EF3C94">
        <w:rPr>
          <w:rFonts w:ascii="Times New Roman" w:eastAsia="Times New Roman" w:hAnsi="Times New Roman" w:cs="Times New Roman"/>
        </w:rPr>
        <w:t xml:space="preserve">: </w:t>
      </w:r>
    </w:p>
    <w:bookmarkEnd w:id="27"/>
    <w:p w14:paraId="67F1B553" w14:textId="77777777" w:rsidR="002B1C83" w:rsidRPr="00EF3C94" w:rsidRDefault="00EF6DB8" w:rsidP="006E708C">
      <w:pPr>
        <w:pStyle w:val="Prrafodelista"/>
        <w:numPr>
          <w:ilvl w:val="0"/>
          <w:numId w:val="18"/>
        </w:numPr>
        <w:pBdr>
          <w:top w:val="nil"/>
          <w:left w:val="nil"/>
          <w:bottom w:val="nil"/>
          <w:right w:val="nil"/>
          <w:between w:val="nil"/>
        </w:pBdr>
        <w:spacing w:after="200"/>
        <w:jc w:val="both"/>
        <w:rPr>
          <w:rFonts w:ascii="Times New Roman" w:eastAsia="Times New Roman" w:hAnsi="Times New Roman" w:cs="Times New Roman"/>
        </w:rPr>
      </w:pPr>
      <w:r w:rsidRPr="00EF3C94">
        <w:rPr>
          <w:rFonts w:ascii="Times New Roman" w:eastAsia="Times New Roman" w:hAnsi="Times New Roman" w:cs="Times New Roman"/>
        </w:rPr>
        <w:t xml:space="preserve">Prioridad 1: Comprender el riesgo de desastres. </w:t>
      </w:r>
    </w:p>
    <w:p w14:paraId="012BE2EF" w14:textId="3F5A4271" w:rsidR="006E708C" w:rsidRPr="00EF3C94" w:rsidRDefault="00CA43FF" w:rsidP="002B1C83">
      <w:pPr>
        <w:pStyle w:val="Prrafodelista"/>
        <w:pBdr>
          <w:top w:val="nil"/>
          <w:left w:val="nil"/>
          <w:bottom w:val="nil"/>
          <w:right w:val="nil"/>
          <w:between w:val="nil"/>
        </w:pBdr>
        <w:spacing w:after="200"/>
        <w:jc w:val="both"/>
        <w:rPr>
          <w:rFonts w:ascii="Times New Roman" w:eastAsia="Times New Roman" w:hAnsi="Times New Roman" w:cs="Times New Roman"/>
        </w:rPr>
      </w:pPr>
      <w:bookmarkStart w:id="28" w:name="_Hlk117515002"/>
      <w:r w:rsidRPr="00EF3C94">
        <w:rPr>
          <w:rFonts w:ascii="Times New Roman" w:eastAsia="Times New Roman" w:hAnsi="Times New Roman" w:cs="Times New Roman"/>
        </w:rPr>
        <w:t xml:space="preserve">Para una adecuada implementación de las políticas y prácticas para la gestión del riesgo de desastres se debe considerar la comprensión del riesgo de desastres que incluye la </w:t>
      </w:r>
      <w:r w:rsidR="00561B13" w:rsidRPr="00EF3C94">
        <w:rPr>
          <w:rFonts w:ascii="Times New Roman" w:eastAsia="Times New Roman" w:hAnsi="Times New Roman" w:cs="Times New Roman"/>
        </w:rPr>
        <w:t xml:space="preserve">evaluación </w:t>
      </w:r>
      <w:r w:rsidR="002C1B8C" w:rsidRPr="00EF3C94">
        <w:rPr>
          <w:rFonts w:ascii="Times New Roman" w:eastAsia="Times New Roman" w:hAnsi="Times New Roman" w:cs="Times New Roman"/>
        </w:rPr>
        <w:t>periódica</w:t>
      </w:r>
      <w:r w:rsidR="00561B13" w:rsidRPr="00EF3C94">
        <w:rPr>
          <w:rFonts w:ascii="Times New Roman" w:eastAsia="Times New Roman" w:hAnsi="Times New Roman" w:cs="Times New Roman"/>
        </w:rPr>
        <w:t xml:space="preserve"> de los riesgos, la </w:t>
      </w:r>
      <w:r w:rsidRPr="00EF3C94">
        <w:rPr>
          <w:rFonts w:ascii="Times New Roman" w:eastAsia="Times New Roman" w:hAnsi="Times New Roman" w:cs="Times New Roman"/>
        </w:rPr>
        <w:t xml:space="preserve">vulnerabilidad, capacidad, grado de exposición de personas y bienes, características de las amenazas y su entorno. </w:t>
      </w:r>
      <w:r w:rsidR="00561B13" w:rsidRPr="00EF3C94">
        <w:rPr>
          <w:rFonts w:ascii="Times New Roman" w:eastAsia="Times New Roman" w:hAnsi="Times New Roman" w:cs="Times New Roman"/>
        </w:rPr>
        <w:t>Comprender el riesgo va permitir elaborar y aplicar políticas</w:t>
      </w:r>
      <w:r w:rsidR="001F43C3" w:rsidRPr="00EF3C94">
        <w:rPr>
          <w:rFonts w:ascii="Times New Roman" w:eastAsia="Times New Roman" w:hAnsi="Times New Roman" w:cs="Times New Roman"/>
        </w:rPr>
        <w:t xml:space="preserve"> y medidas adecuadas para la</w:t>
      </w:r>
      <w:r w:rsidR="00561B13" w:rsidRPr="00EF3C94">
        <w:rPr>
          <w:rFonts w:ascii="Times New Roman" w:eastAsia="Times New Roman" w:hAnsi="Times New Roman" w:cs="Times New Roman"/>
        </w:rPr>
        <w:t xml:space="preserve"> reducción de riesgo de </w:t>
      </w:r>
      <w:r w:rsidR="002C1B8C" w:rsidRPr="00EF3C94">
        <w:rPr>
          <w:rFonts w:ascii="Times New Roman" w:eastAsia="Times New Roman" w:hAnsi="Times New Roman" w:cs="Times New Roman"/>
        </w:rPr>
        <w:t>desastres,</w:t>
      </w:r>
      <w:r w:rsidR="001F43C3" w:rsidRPr="00EF3C94">
        <w:rPr>
          <w:rFonts w:ascii="Times New Roman" w:eastAsia="Times New Roman" w:hAnsi="Times New Roman" w:cs="Times New Roman"/>
        </w:rPr>
        <w:t xml:space="preserve"> </w:t>
      </w:r>
      <w:r w:rsidR="003313DC">
        <w:rPr>
          <w:rFonts w:ascii="Times New Roman" w:eastAsia="Times New Roman" w:hAnsi="Times New Roman" w:cs="Times New Roman"/>
        </w:rPr>
        <w:t>además de</w:t>
      </w:r>
      <w:r w:rsidR="001F43C3" w:rsidRPr="00EF3C94">
        <w:rPr>
          <w:rFonts w:ascii="Times New Roman" w:eastAsia="Times New Roman" w:hAnsi="Times New Roman" w:cs="Times New Roman"/>
        </w:rPr>
        <w:t xml:space="preserve"> </w:t>
      </w:r>
      <w:r w:rsidR="002C1B8C" w:rsidRPr="00EF3C94">
        <w:rPr>
          <w:rFonts w:ascii="Times New Roman" w:eastAsia="Times New Roman" w:hAnsi="Times New Roman" w:cs="Times New Roman"/>
        </w:rPr>
        <w:t>una preparación</w:t>
      </w:r>
      <w:r w:rsidR="00561B13" w:rsidRPr="00EF3C94">
        <w:rPr>
          <w:rFonts w:ascii="Times New Roman" w:eastAsia="Times New Roman" w:hAnsi="Times New Roman" w:cs="Times New Roman"/>
        </w:rPr>
        <w:t xml:space="preserve"> </w:t>
      </w:r>
      <w:r w:rsidRPr="00EF3C94">
        <w:rPr>
          <w:rFonts w:ascii="Times New Roman" w:eastAsia="Times New Roman" w:hAnsi="Times New Roman" w:cs="Times New Roman"/>
        </w:rPr>
        <w:t>y respuesta eficaz</w:t>
      </w:r>
      <w:r w:rsidR="001F43C3" w:rsidRPr="00EF3C94">
        <w:rPr>
          <w:rFonts w:ascii="Times New Roman" w:eastAsia="Times New Roman" w:hAnsi="Times New Roman" w:cs="Times New Roman"/>
        </w:rPr>
        <w:t xml:space="preserve"> y eficiente</w:t>
      </w:r>
      <w:r w:rsidRPr="00EF3C94">
        <w:rPr>
          <w:rFonts w:ascii="Times New Roman" w:eastAsia="Times New Roman" w:hAnsi="Times New Roman" w:cs="Times New Roman"/>
        </w:rPr>
        <w:t xml:space="preserve"> para casos de desastre</w:t>
      </w:r>
      <w:r w:rsidR="00561B13" w:rsidRPr="00EF3C94">
        <w:rPr>
          <w:rFonts w:ascii="Times New Roman" w:eastAsia="Times New Roman" w:hAnsi="Times New Roman" w:cs="Times New Roman"/>
        </w:rPr>
        <w:t xml:space="preserve"> y/o emergencias.</w:t>
      </w:r>
      <w:r w:rsidR="001F43C3" w:rsidRPr="00EF3C94">
        <w:rPr>
          <w:rFonts w:ascii="Times New Roman" w:eastAsia="Times New Roman" w:hAnsi="Times New Roman" w:cs="Times New Roman"/>
        </w:rPr>
        <w:t xml:space="preserve"> En esta prioridad </w:t>
      </w:r>
      <w:r w:rsidR="0078594E" w:rsidRPr="00EF3C94">
        <w:rPr>
          <w:rFonts w:ascii="Times New Roman" w:eastAsia="Times New Roman" w:hAnsi="Times New Roman" w:cs="Times New Roman"/>
        </w:rPr>
        <w:t>también</w:t>
      </w:r>
      <w:r w:rsidR="001F43C3" w:rsidRPr="00EF3C94">
        <w:rPr>
          <w:rFonts w:ascii="Times New Roman" w:eastAsia="Times New Roman" w:hAnsi="Times New Roman" w:cs="Times New Roman"/>
        </w:rPr>
        <w:t xml:space="preserve"> va considerar la promoción de estrategias nacionales para reforzar la educación </w:t>
      </w:r>
      <w:r w:rsidR="000674D2" w:rsidRPr="00EF3C94">
        <w:rPr>
          <w:rFonts w:ascii="Times New Roman" w:eastAsia="Times New Roman" w:hAnsi="Times New Roman" w:cs="Times New Roman"/>
        </w:rPr>
        <w:t>académica</w:t>
      </w:r>
      <w:r w:rsidR="001F43C3" w:rsidRPr="00EF3C94">
        <w:rPr>
          <w:rFonts w:ascii="Times New Roman" w:eastAsia="Times New Roman" w:hAnsi="Times New Roman" w:cs="Times New Roman"/>
        </w:rPr>
        <w:t xml:space="preserve"> y no </w:t>
      </w:r>
      <w:r w:rsidR="000674D2" w:rsidRPr="00EF3C94">
        <w:rPr>
          <w:rFonts w:ascii="Times New Roman" w:eastAsia="Times New Roman" w:hAnsi="Times New Roman" w:cs="Times New Roman"/>
        </w:rPr>
        <w:t>académica</w:t>
      </w:r>
      <w:r w:rsidR="001F43C3" w:rsidRPr="00EF3C94">
        <w:rPr>
          <w:rFonts w:ascii="Times New Roman" w:eastAsia="Times New Roman" w:hAnsi="Times New Roman" w:cs="Times New Roman"/>
        </w:rPr>
        <w:t xml:space="preserve"> en relación a la </w:t>
      </w:r>
      <w:r w:rsidR="002C1B8C" w:rsidRPr="00EF3C94">
        <w:rPr>
          <w:rFonts w:ascii="Times New Roman" w:eastAsia="Times New Roman" w:hAnsi="Times New Roman" w:cs="Times New Roman"/>
        </w:rPr>
        <w:t>GRD,</w:t>
      </w:r>
      <w:r w:rsidR="001F43C3" w:rsidRPr="00EF3C94">
        <w:rPr>
          <w:rFonts w:ascii="Times New Roman" w:eastAsia="Times New Roman" w:hAnsi="Times New Roman" w:cs="Times New Roman"/>
        </w:rPr>
        <w:t xml:space="preserve"> así como la sensibilización </w:t>
      </w:r>
      <w:r w:rsidR="000674D2" w:rsidRPr="00EF3C94">
        <w:rPr>
          <w:rFonts w:ascii="Times New Roman" w:eastAsia="Times New Roman" w:hAnsi="Times New Roman" w:cs="Times New Roman"/>
        </w:rPr>
        <w:t xml:space="preserve">de las comunidades a </w:t>
      </w:r>
      <w:r w:rsidR="002C1B8C" w:rsidRPr="00EF3C94">
        <w:rPr>
          <w:rFonts w:ascii="Times New Roman" w:eastAsia="Times New Roman" w:hAnsi="Times New Roman" w:cs="Times New Roman"/>
        </w:rPr>
        <w:t>través</w:t>
      </w:r>
      <w:r w:rsidR="000674D2" w:rsidRPr="00EF3C94">
        <w:rPr>
          <w:rFonts w:ascii="Times New Roman" w:eastAsia="Times New Roman" w:hAnsi="Times New Roman" w:cs="Times New Roman"/>
        </w:rPr>
        <w:t xml:space="preserve"> de campañas y redes sociales.</w:t>
      </w:r>
      <w:r w:rsidR="002C1B8C" w:rsidRPr="00EF3C94">
        <w:rPr>
          <w:rFonts w:ascii="Times New Roman" w:eastAsia="Times New Roman" w:hAnsi="Times New Roman" w:cs="Times New Roman"/>
        </w:rPr>
        <w:t xml:space="preserve"> </w:t>
      </w:r>
    </w:p>
    <w:bookmarkEnd w:id="28"/>
    <w:p w14:paraId="6E714DCF" w14:textId="77777777" w:rsidR="009E0D32" w:rsidRPr="00EF3C94" w:rsidRDefault="009E0D32" w:rsidP="002B1C83">
      <w:pPr>
        <w:pStyle w:val="Prrafodelista"/>
        <w:pBdr>
          <w:top w:val="nil"/>
          <w:left w:val="nil"/>
          <w:bottom w:val="nil"/>
          <w:right w:val="nil"/>
          <w:between w:val="nil"/>
        </w:pBdr>
        <w:spacing w:after="200"/>
        <w:jc w:val="both"/>
        <w:rPr>
          <w:rFonts w:ascii="Times New Roman" w:eastAsia="Times New Roman" w:hAnsi="Times New Roman" w:cs="Times New Roman"/>
        </w:rPr>
      </w:pPr>
    </w:p>
    <w:p w14:paraId="4F473C72" w14:textId="77777777" w:rsidR="002B1C83" w:rsidRPr="00EF3C94" w:rsidRDefault="00EF6DB8" w:rsidP="006E708C">
      <w:pPr>
        <w:pStyle w:val="Prrafodelista"/>
        <w:numPr>
          <w:ilvl w:val="0"/>
          <w:numId w:val="18"/>
        </w:numPr>
        <w:pBdr>
          <w:top w:val="nil"/>
          <w:left w:val="nil"/>
          <w:bottom w:val="nil"/>
          <w:right w:val="nil"/>
          <w:between w:val="nil"/>
        </w:pBdr>
        <w:spacing w:after="200"/>
        <w:jc w:val="both"/>
        <w:rPr>
          <w:rFonts w:ascii="Times New Roman" w:eastAsia="Times New Roman" w:hAnsi="Times New Roman" w:cs="Times New Roman"/>
        </w:rPr>
      </w:pPr>
      <w:r w:rsidRPr="00EF3C94">
        <w:rPr>
          <w:rFonts w:ascii="Times New Roman" w:eastAsia="Times New Roman" w:hAnsi="Times New Roman" w:cs="Times New Roman"/>
        </w:rPr>
        <w:lastRenderedPageBreak/>
        <w:t>Prioridad 2: Fortalecer la gobernanza del riesgo de desastres para gestionar dicho riesgo.</w:t>
      </w:r>
      <w:r w:rsidR="000674D2" w:rsidRPr="00EF3C94">
        <w:rPr>
          <w:rFonts w:ascii="Times New Roman" w:hAnsi="Times New Roman" w:cs="Times New Roman"/>
        </w:rPr>
        <w:t xml:space="preserve"> </w:t>
      </w:r>
    </w:p>
    <w:p w14:paraId="1D4E8E19" w14:textId="3E46385D" w:rsidR="008E5F2C" w:rsidRPr="003313DC" w:rsidRDefault="000674D2" w:rsidP="003313DC">
      <w:pPr>
        <w:pStyle w:val="Prrafodelista"/>
        <w:pBdr>
          <w:top w:val="nil"/>
          <w:left w:val="nil"/>
          <w:bottom w:val="nil"/>
          <w:right w:val="nil"/>
          <w:between w:val="nil"/>
        </w:pBdr>
        <w:spacing w:after="200"/>
        <w:jc w:val="both"/>
        <w:rPr>
          <w:rFonts w:ascii="Times New Roman" w:eastAsia="Times New Roman" w:hAnsi="Times New Roman" w:cs="Times New Roman"/>
        </w:rPr>
      </w:pPr>
      <w:bookmarkStart w:id="29" w:name="_Hlk117515018"/>
      <w:r w:rsidRPr="00EF3C94">
        <w:rPr>
          <w:rFonts w:ascii="Times New Roman" w:eastAsia="Times New Roman" w:hAnsi="Times New Roman" w:cs="Times New Roman"/>
        </w:rPr>
        <w:t>Para una adecuada gobernanza del riesgo es</w:t>
      </w:r>
      <w:r w:rsidRPr="00EF3C94">
        <w:rPr>
          <w:rFonts w:ascii="Times New Roman" w:hAnsi="Times New Roman" w:cs="Times New Roman"/>
        </w:rPr>
        <w:t xml:space="preserve"> </w:t>
      </w:r>
      <w:r w:rsidR="003313DC">
        <w:rPr>
          <w:rFonts w:ascii="Times New Roman" w:hAnsi="Times New Roman" w:cs="Times New Roman"/>
        </w:rPr>
        <w:t xml:space="preserve">importante establecer planes, objetivos, directivas, competencias y coordinación entre los sectores involucrados; además de la intervención de actores pertinentes. En efecto, debe prevalecer un gobierno con fortaleza para implementar la gestión </w:t>
      </w:r>
      <w:r w:rsidRPr="003313DC">
        <w:rPr>
          <w:rFonts w:ascii="Times New Roman" w:eastAsia="Times New Roman" w:hAnsi="Times New Roman" w:cs="Times New Roman"/>
        </w:rPr>
        <w:t xml:space="preserve">del riesgo de desastres </w:t>
      </w:r>
      <w:r w:rsidR="003313DC">
        <w:rPr>
          <w:rFonts w:ascii="Times New Roman" w:eastAsia="Times New Roman" w:hAnsi="Times New Roman" w:cs="Times New Roman"/>
        </w:rPr>
        <w:t xml:space="preserve">en sus medidas de preparación, prevención, recuperación, mitigación y </w:t>
      </w:r>
      <w:r w:rsidRPr="003313DC">
        <w:rPr>
          <w:rFonts w:ascii="Times New Roman" w:eastAsia="Times New Roman" w:hAnsi="Times New Roman" w:cs="Times New Roman"/>
        </w:rPr>
        <w:t>rehabilitación</w:t>
      </w:r>
      <w:r w:rsidR="003313DC">
        <w:rPr>
          <w:rFonts w:ascii="Times New Roman" w:eastAsia="Times New Roman" w:hAnsi="Times New Roman" w:cs="Times New Roman"/>
        </w:rPr>
        <w:t xml:space="preserve">, siendo necesario fomentar </w:t>
      </w:r>
      <w:r w:rsidRPr="003313DC">
        <w:rPr>
          <w:rFonts w:ascii="Times New Roman" w:eastAsia="Times New Roman" w:hAnsi="Times New Roman" w:cs="Times New Roman"/>
        </w:rPr>
        <w:t>la colaboración y las alianzas entre mecanismos e instituciones en la aplicación de los instrumentos pertinentes</w:t>
      </w:r>
      <w:r w:rsidR="008E5F2C" w:rsidRPr="003313DC">
        <w:rPr>
          <w:rFonts w:ascii="Times New Roman" w:eastAsia="Times New Roman" w:hAnsi="Times New Roman" w:cs="Times New Roman"/>
        </w:rPr>
        <w:t>.</w:t>
      </w:r>
    </w:p>
    <w:p w14:paraId="5479E865" w14:textId="79C78D75" w:rsidR="008E5F2C" w:rsidRPr="00EF3C94" w:rsidRDefault="00DD19D8" w:rsidP="008E5F2C">
      <w:pPr>
        <w:pStyle w:val="Prrafodelista"/>
        <w:pBdr>
          <w:top w:val="nil"/>
          <w:left w:val="nil"/>
          <w:bottom w:val="nil"/>
          <w:right w:val="nil"/>
          <w:between w:val="nil"/>
        </w:pBdr>
        <w:spacing w:after="200"/>
        <w:jc w:val="both"/>
        <w:rPr>
          <w:rFonts w:ascii="Times New Roman" w:eastAsia="Times New Roman" w:hAnsi="Times New Roman" w:cs="Times New Roman"/>
        </w:rPr>
      </w:pPr>
      <w:r w:rsidRPr="00EF3C94">
        <w:rPr>
          <w:rFonts w:ascii="Times New Roman" w:eastAsia="Times New Roman" w:hAnsi="Times New Roman" w:cs="Times New Roman"/>
        </w:rPr>
        <w:t>Asimismo,</w:t>
      </w:r>
      <w:r w:rsidR="008E5F2C" w:rsidRPr="00EF3C94">
        <w:rPr>
          <w:rFonts w:ascii="Times New Roman" w:eastAsia="Times New Roman" w:hAnsi="Times New Roman" w:cs="Times New Roman"/>
        </w:rPr>
        <w:t xml:space="preserve"> se debe fomentar la GRD mediante la elaboración de </w:t>
      </w:r>
      <w:r w:rsidR="00382A0A" w:rsidRPr="00EF3C94">
        <w:rPr>
          <w:rFonts w:ascii="Times New Roman" w:eastAsia="Times New Roman" w:hAnsi="Times New Roman" w:cs="Times New Roman"/>
        </w:rPr>
        <w:t>normativas</w:t>
      </w:r>
      <w:r w:rsidR="008E5F2C" w:rsidRPr="00EF3C94">
        <w:rPr>
          <w:rFonts w:ascii="Times New Roman" w:eastAsia="Times New Roman" w:hAnsi="Times New Roman" w:cs="Times New Roman"/>
        </w:rPr>
        <w:t xml:space="preserve"> o la modificación de l</w:t>
      </w:r>
      <w:r w:rsidR="00382A0A" w:rsidRPr="00EF3C94">
        <w:rPr>
          <w:rFonts w:ascii="Times New Roman" w:eastAsia="Times New Roman" w:hAnsi="Times New Roman" w:cs="Times New Roman"/>
        </w:rPr>
        <w:t>as</w:t>
      </w:r>
      <w:r w:rsidR="008E5F2C" w:rsidRPr="00EF3C94">
        <w:rPr>
          <w:rFonts w:ascii="Times New Roman" w:eastAsia="Times New Roman" w:hAnsi="Times New Roman" w:cs="Times New Roman"/>
        </w:rPr>
        <w:t xml:space="preserve"> existente</w:t>
      </w:r>
      <w:r w:rsidR="00382A0A" w:rsidRPr="00EF3C94">
        <w:rPr>
          <w:rFonts w:ascii="Times New Roman" w:eastAsia="Times New Roman" w:hAnsi="Times New Roman" w:cs="Times New Roman"/>
        </w:rPr>
        <w:t>s</w:t>
      </w:r>
      <w:r w:rsidR="008E5F2C" w:rsidRPr="00EF3C94">
        <w:rPr>
          <w:rFonts w:ascii="Times New Roman" w:eastAsia="Times New Roman" w:hAnsi="Times New Roman" w:cs="Times New Roman"/>
        </w:rPr>
        <w:t xml:space="preserve"> y el establecimiento de asignaciones presupuestarias.</w:t>
      </w:r>
    </w:p>
    <w:bookmarkEnd w:id="29"/>
    <w:p w14:paraId="778AC573" w14:textId="2CCA1E35" w:rsidR="0078594E" w:rsidRPr="00EF3C94" w:rsidRDefault="0078594E" w:rsidP="008E5F2C">
      <w:pPr>
        <w:pStyle w:val="Prrafodelista"/>
        <w:pBdr>
          <w:top w:val="nil"/>
          <w:left w:val="nil"/>
          <w:bottom w:val="nil"/>
          <w:right w:val="nil"/>
          <w:between w:val="nil"/>
        </w:pBdr>
        <w:spacing w:after="200"/>
        <w:jc w:val="both"/>
        <w:rPr>
          <w:rFonts w:ascii="Times New Roman" w:eastAsia="Times New Roman" w:hAnsi="Times New Roman" w:cs="Times New Roman"/>
        </w:rPr>
      </w:pPr>
    </w:p>
    <w:p w14:paraId="60F5A421" w14:textId="3CD576AE" w:rsidR="0078594E" w:rsidRPr="00EF3C94" w:rsidRDefault="0078594E" w:rsidP="0078594E">
      <w:pPr>
        <w:pStyle w:val="Prrafodelista"/>
        <w:numPr>
          <w:ilvl w:val="0"/>
          <w:numId w:val="36"/>
        </w:numPr>
        <w:pBdr>
          <w:top w:val="nil"/>
          <w:left w:val="nil"/>
          <w:bottom w:val="nil"/>
          <w:right w:val="nil"/>
          <w:between w:val="nil"/>
        </w:pBdr>
        <w:spacing w:after="200"/>
        <w:ind w:left="709" w:hanging="283"/>
        <w:jc w:val="both"/>
        <w:rPr>
          <w:rFonts w:ascii="Times New Roman" w:eastAsia="Times New Roman" w:hAnsi="Times New Roman" w:cs="Times New Roman"/>
        </w:rPr>
      </w:pPr>
      <w:r w:rsidRPr="00EF3C94">
        <w:rPr>
          <w:rFonts w:ascii="Times New Roman" w:eastAsia="Times New Roman" w:hAnsi="Times New Roman" w:cs="Times New Roman"/>
        </w:rPr>
        <w:t>Prioridad 3: Invertir en la reducción del riesgo de desastres para la resiliencia.</w:t>
      </w:r>
    </w:p>
    <w:p w14:paraId="72833621" w14:textId="6D159EDB" w:rsidR="006F3DAD" w:rsidRPr="00EF3C94" w:rsidRDefault="006F3DAD" w:rsidP="00027D7C">
      <w:pPr>
        <w:pStyle w:val="Prrafodelista"/>
        <w:pBdr>
          <w:top w:val="nil"/>
          <w:left w:val="nil"/>
          <w:bottom w:val="nil"/>
          <w:right w:val="nil"/>
          <w:between w:val="nil"/>
        </w:pBdr>
        <w:spacing w:after="200"/>
        <w:jc w:val="both"/>
        <w:rPr>
          <w:rFonts w:ascii="Times New Roman" w:hAnsi="Times New Roman" w:cs="Times New Roman"/>
        </w:rPr>
      </w:pPr>
      <w:bookmarkStart w:id="30" w:name="_Hlk117515028"/>
      <w:r w:rsidRPr="00EF3C94">
        <w:rPr>
          <w:rFonts w:ascii="Times New Roman" w:eastAsia="Times New Roman" w:hAnsi="Times New Roman" w:cs="Times New Roman"/>
        </w:rPr>
        <w:t xml:space="preserve">Responde a las inversiones públicas y privadas en GRD a </w:t>
      </w:r>
      <w:r w:rsidR="0078594E" w:rsidRPr="00EF3C94">
        <w:rPr>
          <w:rFonts w:ascii="Times New Roman" w:eastAsia="Times New Roman" w:hAnsi="Times New Roman" w:cs="Times New Roman"/>
        </w:rPr>
        <w:t>través</w:t>
      </w:r>
      <w:r w:rsidRPr="00EF3C94">
        <w:rPr>
          <w:rFonts w:ascii="Times New Roman" w:eastAsia="Times New Roman" w:hAnsi="Times New Roman" w:cs="Times New Roman"/>
        </w:rPr>
        <w:t xml:space="preserve"> de medidas estructurales y no estructurales reduciendo las perdidas asegurando la rehabilitación efectiva aumentando la resiliencia económica, social, sanitaria y cultural de las poblaciones, asimismo permite impulsar la innovación, el crecimiento y la creación de empleo. Para el logro de ello se debe promover el uso de </w:t>
      </w:r>
      <w:r w:rsidRPr="00EF3C94">
        <w:rPr>
          <w:rFonts w:ascii="Times New Roman" w:hAnsi="Times New Roman" w:cs="Times New Roman"/>
        </w:rPr>
        <w:t xml:space="preserve">mecanismos para transferencia y seguros, retención de riesgos, y protección financiera en las inversiones tanto públicas como privadas, así como la incorporación de la evaluación, la representación cartográfica y la gestión del riesgo de desastres en la gestión pública.   </w:t>
      </w:r>
    </w:p>
    <w:bookmarkEnd w:id="30"/>
    <w:p w14:paraId="5AA195A2" w14:textId="77777777" w:rsidR="00F079DC" w:rsidRPr="00EF3C94" w:rsidRDefault="00F079DC" w:rsidP="00027D7C">
      <w:pPr>
        <w:pStyle w:val="Prrafodelista"/>
        <w:pBdr>
          <w:top w:val="nil"/>
          <w:left w:val="nil"/>
          <w:bottom w:val="nil"/>
          <w:right w:val="nil"/>
          <w:between w:val="nil"/>
        </w:pBdr>
        <w:spacing w:after="200"/>
        <w:jc w:val="both"/>
      </w:pPr>
    </w:p>
    <w:p w14:paraId="12DA88B3" w14:textId="196903F4" w:rsidR="006E708C" w:rsidRPr="00EF3C94" w:rsidRDefault="00EF6DB8" w:rsidP="00027D7C">
      <w:pPr>
        <w:pStyle w:val="Prrafodelista"/>
        <w:numPr>
          <w:ilvl w:val="0"/>
          <w:numId w:val="18"/>
        </w:numPr>
        <w:pBdr>
          <w:top w:val="nil"/>
          <w:left w:val="nil"/>
          <w:bottom w:val="nil"/>
          <w:right w:val="nil"/>
          <w:between w:val="nil"/>
        </w:pBdr>
        <w:spacing w:after="200"/>
        <w:jc w:val="both"/>
        <w:rPr>
          <w:rFonts w:ascii="Times New Roman" w:eastAsia="Times New Roman" w:hAnsi="Times New Roman" w:cs="Times New Roman"/>
        </w:rPr>
      </w:pPr>
      <w:r w:rsidRPr="00EF3C94">
        <w:rPr>
          <w:rFonts w:ascii="Times New Roman" w:eastAsia="Times New Roman" w:hAnsi="Times New Roman" w:cs="Times New Roman"/>
        </w:rPr>
        <w:t xml:space="preserve">Prioridad 4: Aumentar la preparación para casos de desastre a fin de dar una respuesta eficaz y para “reconstruir mejor” en los ámbitos de la recuperación, la rehabilitación y la reconstrucción. </w:t>
      </w:r>
    </w:p>
    <w:p w14:paraId="3BA6D63A" w14:textId="6598B6C6" w:rsidR="006F3DAD" w:rsidRDefault="007D1B85" w:rsidP="007D1B85">
      <w:pPr>
        <w:pStyle w:val="Prrafodelista"/>
        <w:pBdr>
          <w:top w:val="nil"/>
          <w:left w:val="nil"/>
          <w:bottom w:val="nil"/>
          <w:right w:val="nil"/>
          <w:between w:val="nil"/>
        </w:pBdr>
        <w:spacing w:after="200"/>
        <w:jc w:val="both"/>
        <w:rPr>
          <w:rFonts w:ascii="Times New Roman" w:eastAsia="Times New Roman" w:hAnsi="Times New Roman" w:cs="Times New Roman"/>
        </w:rPr>
      </w:pPr>
      <w:r w:rsidRPr="007D1B85">
        <w:rPr>
          <w:rFonts w:ascii="Times New Roman" w:eastAsia="Times New Roman" w:hAnsi="Times New Roman" w:cs="Times New Roman"/>
        </w:rPr>
        <w:t>Responde a la necesidad de fortalecer la preparación ante una emergencia y/o desastres adoptando medidas previas que permita asegurar el desarrollo y fortalecimiento de capacidad para una respuesta y recuperación eficaces a</w:t>
      </w:r>
      <w:r>
        <w:rPr>
          <w:rFonts w:ascii="Times New Roman" w:eastAsia="Times New Roman" w:hAnsi="Times New Roman" w:cs="Times New Roman"/>
        </w:rPr>
        <w:t xml:space="preserve"> </w:t>
      </w:r>
      <w:r w:rsidRPr="007D1B85">
        <w:rPr>
          <w:rFonts w:ascii="Times New Roman" w:eastAsia="Times New Roman" w:hAnsi="Times New Roman" w:cs="Times New Roman"/>
        </w:rPr>
        <w:lastRenderedPageBreak/>
        <w:t>todos los niveles. Es importante que se promuevan en las entidades públicas los enfoques basados en la equidad de género y el acceso universal y se incorpore a los procesos de GRD que permita que se empodere a la mujer y las personas con discapacidad. Prepararse de forma anticipada es una oportunidad fundamental para “reconstruir mejor”, entre otras cosas mediante la integración de la reducción del riesgo de desastres en las medidas de desarrollo, haciendo que las naciones y las comunidades sean resilientes a los desastres.</w:t>
      </w:r>
    </w:p>
    <w:p w14:paraId="1C92BAD5" w14:textId="77777777" w:rsidR="007D1B85" w:rsidRPr="00EF3C94" w:rsidRDefault="007D1B85" w:rsidP="007D1CD8">
      <w:pPr>
        <w:pStyle w:val="Prrafodelista"/>
        <w:pBdr>
          <w:top w:val="nil"/>
          <w:left w:val="nil"/>
          <w:bottom w:val="nil"/>
          <w:right w:val="nil"/>
          <w:between w:val="nil"/>
        </w:pBdr>
        <w:spacing w:after="200"/>
        <w:jc w:val="both"/>
        <w:rPr>
          <w:rFonts w:ascii="Times New Roman" w:eastAsia="Times New Roman" w:hAnsi="Times New Roman" w:cs="Times New Roman"/>
        </w:rPr>
      </w:pPr>
    </w:p>
    <w:p w14:paraId="64BB01B8" w14:textId="426E7538" w:rsidR="00553F7F" w:rsidRPr="00F079DC" w:rsidRDefault="007D1B85" w:rsidP="00672B7F">
      <w:pPr>
        <w:pBdr>
          <w:top w:val="nil"/>
          <w:left w:val="nil"/>
          <w:bottom w:val="nil"/>
          <w:right w:val="nil"/>
          <w:between w:val="nil"/>
        </w:pBdr>
        <w:spacing w:after="200"/>
        <w:jc w:val="both"/>
        <w:rPr>
          <w:rFonts w:ascii="Times New Roman" w:eastAsia="Times New Roman" w:hAnsi="Times New Roman" w:cs="Times New Roman"/>
          <w:color w:val="000000"/>
        </w:rPr>
      </w:pPr>
      <w:r w:rsidRPr="007D1B85">
        <w:rPr>
          <w:rFonts w:ascii="Times New Roman" w:eastAsia="Times New Roman" w:hAnsi="Times New Roman" w:cs="Times New Roman"/>
          <w:color w:val="000000"/>
        </w:rPr>
        <w:t>Los gobiernos, las entidades regionales e internacionales; así como otros actores deben tener en cuenta actividades estratégicas que estén alineadas a los 4 principios y deben ponerlo en práctica, como corresponda, considerando sus capacidades, acorde a las bases legales y la regulación nacional (Naciones Unidas, 2015).</w:t>
      </w:r>
    </w:p>
    <w:p w14:paraId="27EAC889" w14:textId="59E8F93A" w:rsidR="00BC139E" w:rsidRPr="009106E4" w:rsidRDefault="00553F7F" w:rsidP="009106E4">
      <w:pPr>
        <w:pBdr>
          <w:top w:val="nil"/>
          <w:left w:val="nil"/>
          <w:bottom w:val="nil"/>
          <w:right w:val="nil"/>
          <w:between w:val="nil"/>
        </w:pBdr>
        <w:spacing w:after="200"/>
        <w:ind w:firstLine="567"/>
        <w:jc w:val="both"/>
        <w:rPr>
          <w:rFonts w:ascii="Times New Roman" w:eastAsia="Times New Roman" w:hAnsi="Times New Roman" w:cs="Times New Roman"/>
          <w:color w:val="000000"/>
        </w:rPr>
      </w:pPr>
      <w:r w:rsidRPr="00F079DC">
        <w:rPr>
          <w:rFonts w:ascii="Times New Roman" w:eastAsia="Times New Roman" w:hAnsi="Times New Roman" w:cs="Times New Roman"/>
          <w:color w:val="000000"/>
        </w:rPr>
        <w:t xml:space="preserve">Coincidiendo con la aprobación del Marco de Sendai se aprobó la Agenda </w:t>
      </w:r>
      <w:r w:rsidR="007D1B85" w:rsidRPr="007D1B85">
        <w:t xml:space="preserve"> </w:t>
      </w:r>
      <w:r w:rsidR="007D1B85" w:rsidRPr="007D1B85">
        <w:rPr>
          <w:rFonts w:ascii="Times New Roman" w:eastAsia="Times New Roman" w:hAnsi="Times New Roman" w:cs="Times New Roman"/>
        </w:rPr>
        <w:t>Coincidiendo con la aprobación del Marco de Sendai se aprobó la Agenda 2030 para el Desarrollo Sostenible que se gestó en la Conferencia de las Naciones Unidas sobre el Desarrollo Sostenible, el cual se celebró en Brasil en el 2012, con el fin de establecer objetivos claros a nivel mundial sobre los desafíos ambientales, financieros y políticos. Además, el 2014, el Grupo de Trabajo Abierto de la Asamblea General (GTA) expuso su propuesta donde estableció 17 objetivos para su aprobación en la Asamblea, los cuales fueron pautas para el debate de los futuros ODS y la agenda global de desarrollo que se espera tener para el periodo 2015-2030 los cuales están alineados al Marco de Sendai pero hay 3 que presentan una asociación directa (Naciones Unidas, 2015) que son: ODS 1: Lograr el fin de la pobreza en sus diferentes representaciones en todo el mundo, ODS 11: Lograr que los asentamientos humanos y ciudades se caractericen por ser inclusivos, resilientes, sostenible y seguros; por último, el ODS 13: Adoptar acciones urgentes para enfrentar el cambio climático y sus consecuencias. (Política Nacional de Gestión del Riesgo de Desastres al 2050, 2021)</w:t>
      </w:r>
      <w:r w:rsidR="007D1B85">
        <w:rPr>
          <w:rFonts w:ascii="Times New Roman" w:eastAsia="Times New Roman" w:hAnsi="Times New Roman" w:cs="Times New Roman"/>
        </w:rPr>
        <w:t>.</w:t>
      </w:r>
    </w:p>
    <w:p w14:paraId="47A4CCE8" w14:textId="0EBA8A9F" w:rsidR="007B6F38" w:rsidRDefault="007D1B85" w:rsidP="007B6F38">
      <w:pPr>
        <w:pBdr>
          <w:top w:val="nil"/>
          <w:left w:val="nil"/>
          <w:bottom w:val="nil"/>
          <w:right w:val="nil"/>
          <w:between w:val="nil"/>
        </w:pBdr>
        <w:spacing w:after="200"/>
        <w:ind w:firstLine="567"/>
        <w:jc w:val="both"/>
        <w:rPr>
          <w:rFonts w:ascii="Times New Roman" w:eastAsia="Times New Roman" w:hAnsi="Times New Roman" w:cs="Times New Roman"/>
        </w:rPr>
      </w:pPr>
      <w:r w:rsidRPr="007D1B85">
        <w:rPr>
          <w:rFonts w:ascii="Times New Roman" w:eastAsia="Times New Roman" w:hAnsi="Times New Roman" w:cs="Times New Roman"/>
        </w:rPr>
        <w:t xml:space="preserve">Un impulso importante para la temática de la GRD se debate en la Comunidad de Estados Latinoamericanos y caribeños (CELAC) que, desde su puesta en </w:t>
      </w:r>
      <w:r w:rsidRPr="007D1B85">
        <w:rPr>
          <w:rFonts w:ascii="Times New Roman" w:eastAsia="Times New Roman" w:hAnsi="Times New Roman" w:cs="Times New Roman"/>
        </w:rPr>
        <w:lastRenderedPageBreak/>
        <w:t>marcha, diciembre del 2011 ha contribuido a profundizar el diálogo respetuoso entre todos los 33 países de América Latina y el Caribe que la conforman en temas</w:t>
      </w:r>
      <w:r>
        <w:rPr>
          <w:rFonts w:ascii="Times New Roman" w:eastAsia="Times New Roman" w:hAnsi="Times New Roman" w:cs="Times New Roman"/>
        </w:rPr>
        <w:t xml:space="preserve"> </w:t>
      </w:r>
      <w:r w:rsidRPr="007D1B85">
        <w:rPr>
          <w:rFonts w:ascii="Times New Roman" w:eastAsia="Times New Roman" w:hAnsi="Times New Roman" w:cs="Times New Roman"/>
        </w:rPr>
        <w:t>como el desarrollo social, la educación, el desarme nuclear, la agricultura familiar, la cultura, las finanzas, la energía y el medio ambiente. En este espacio se aprobó la creación del Fondo de Adaptación climática y Respuesta Integral a Desastres Naturales, que fue aprobado en la Cumbre de Presidentes de septiembre del 2021 y en la cual se estableció que será administrado por la CEPAL y financiado por los Estados Miembros de CELAC y donantes extra regionales. A través de este fondo se promoverán diligencias de atenuación y adaptación al cambio climático, incluyendo la Gestión Integral de Riesgos por Desastres Naturales, con miras a fomentar una visión del desarrollo integral, reci</w:t>
      </w:r>
      <w:r w:rsidR="00A731B7">
        <w:rPr>
          <w:rFonts w:ascii="Times New Roman" w:eastAsia="Times New Roman" w:hAnsi="Times New Roman" w:cs="Times New Roman"/>
        </w:rPr>
        <w:t>liente</w:t>
      </w:r>
      <w:r w:rsidRPr="007D1B85">
        <w:rPr>
          <w:rFonts w:ascii="Times New Roman" w:eastAsia="Times New Roman" w:hAnsi="Times New Roman" w:cs="Times New Roman"/>
        </w:rPr>
        <w:t xml:space="preserve"> y sostenible que contribuya a fortalecer la capacidad de respuesta ante desastres en los países de la región.</w:t>
      </w:r>
    </w:p>
    <w:p w14:paraId="15EFA262" w14:textId="1922BB35" w:rsidR="00BC139E" w:rsidRPr="00EF3C94" w:rsidRDefault="007D1B85" w:rsidP="007B6F38">
      <w:pPr>
        <w:pBdr>
          <w:top w:val="nil"/>
          <w:left w:val="nil"/>
          <w:bottom w:val="nil"/>
          <w:right w:val="nil"/>
          <w:between w:val="nil"/>
        </w:pBdr>
        <w:spacing w:after="200"/>
        <w:ind w:firstLine="567"/>
        <w:jc w:val="both"/>
        <w:rPr>
          <w:rFonts w:ascii="Times New Roman" w:eastAsia="Times New Roman" w:hAnsi="Times New Roman" w:cs="Times New Roman"/>
        </w:rPr>
      </w:pPr>
      <w:r w:rsidRPr="007D1B85">
        <w:rPr>
          <w:rFonts w:ascii="Times New Roman" w:eastAsia="Times New Roman" w:hAnsi="Times New Roman" w:cs="Times New Roman"/>
        </w:rPr>
        <w:t>A nivel de la Comunidad Andina en donde el Perú es integrante se ha conformado el 7 de julio del 2002 el Comité Andino para la Prevención y Atención de Desastres (CAPRADE), el cual tiene como objetivo reducir los riesgos y el impacto de los desastres en el territorio de la Subregión Andina para ello se promueve y difunde políticas, estrategias y planes, así como actividades en la prevención, respuesta, preparación, respuesta, rehabilitación y reconstrucción. Este espacio también permite la cooperación y asistencia mutuas entre los países que la integran, así como el intercambio de experiencias.</w:t>
      </w:r>
    </w:p>
    <w:p w14:paraId="25355475" w14:textId="61637EDC" w:rsidR="00BC139E" w:rsidRPr="00EF3C94" w:rsidRDefault="007D1B85" w:rsidP="00711232">
      <w:pPr>
        <w:pBdr>
          <w:top w:val="nil"/>
          <w:left w:val="nil"/>
          <w:bottom w:val="nil"/>
          <w:right w:val="nil"/>
          <w:between w:val="nil"/>
        </w:pBdr>
        <w:spacing w:after="200"/>
        <w:ind w:firstLine="567"/>
        <w:jc w:val="both"/>
        <w:rPr>
          <w:rFonts w:ascii="Times New Roman" w:eastAsia="Times New Roman" w:hAnsi="Times New Roman" w:cs="Times New Roman"/>
        </w:rPr>
      </w:pPr>
      <w:r w:rsidRPr="007D1B85">
        <w:rPr>
          <w:rFonts w:ascii="Times New Roman" w:eastAsia="Times New Roman" w:hAnsi="Times New Roman" w:cs="Times New Roman"/>
        </w:rPr>
        <w:t xml:space="preserve">El 9 de mayo del 2017, mediante la Decisión 819, se aprobó la Estrategia Andina para la Gestión del Riesgo de Desastres de la Comunidad Andina (EAGRD) 2017 – 2030, que es una norma supranacional que se encuentra alineada al Marco de Sendai 2015-2030, que tiene como propósito el definir políticas y lineamientos homogéneos en GRD, así como coadyuvar al mejor manejo de las consecuencias que puedan generarse a partir de una emergencia, así como la optimización de las acciones de reconstrucción. El 18 de febrero del 2019 la Secretaría General de la Comunidad Andina adoptó el Plan de Implementación de la EAGDR 2019 – 2030, mediante la Resolución N° 2052, donde se definen ejes temáticos y líneas de intervención de la EAGRD. Identifica y prioriza las actividades en las que los países </w:t>
      </w:r>
      <w:r w:rsidRPr="007D1B85">
        <w:rPr>
          <w:rFonts w:ascii="Times New Roman" w:eastAsia="Times New Roman" w:hAnsi="Times New Roman" w:cs="Times New Roman"/>
        </w:rPr>
        <w:lastRenderedPageBreak/>
        <w:t>miembros, enfocan sus esfuerzos a fin de reducir el riesgo de desastres y asegurar el desarrollo sostenible con inclusión social en la comunidad andina.</w:t>
      </w:r>
    </w:p>
    <w:p w14:paraId="3DBAF840" w14:textId="2564BAD9" w:rsidR="00657D48" w:rsidRDefault="007D1B85">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7D1B85">
        <w:rPr>
          <w:rFonts w:ascii="Times New Roman" w:eastAsia="Times New Roman" w:hAnsi="Times New Roman" w:cs="Times New Roman"/>
          <w:color w:val="000000"/>
        </w:rPr>
        <w:t xml:space="preserve">En el caso particular de Perú, a partir del terremoto del año 1970, se crea el Sistema de Defensa Civil (SDC) para posteriormente crear el Sistema Nacional de Defensa Civil el cual era netamente reactivo y tenía como ente rector al Instituto Nacional de Defensa Civil que en ese momento ejecutaba obras, lo cual trajo consigo casos de corrupción y contratos no cerrados entre otros problemas, es así que en el año 2004 la Contraloría General de la República ya observa al Sistema Nacional de Defensa Civil. A partir de ahí, se le da la responsabilidad al Instituto Nacional de Defensa Civil que realice el trabajo para mejorar al sistema empezando 5 años de análisis y mucho debate que marca la ruta del país en la Gestión del Riesgo de Desastres. Las autoridades nacionales con el apoyo de la Comunidad Andina de Naciones, ven la necesidad de alinearse con las normas internacionales, Marco de Acción de Hyogo (www.unisdr.org, 2005), inicialmente se presenta ante el congreso un proyecto de prevención y atención a emergencias que llegó hasta el pleno del congreso en el gobierno del presidente Toledo pero por falta de decisión política quedó sin efecto por no ser prioritario, sin embargo en el año 2010 se dan los primeros frutos al aprobarse la Política de Estado N° 32 referente a la Gestión del Riesgo de Desastres cuya finalidad es salvaguardar la salud, la vida e integridad de la población; además del patrimonio, fomentando y velando por la seguridad de la población, minimizando las vulnerabilidades con inclusión y equidad, con un enfoque de procesos orientados a la determinación y disminución del riesgo, la capacidad de respuesta ante desastres y la rehabilitación dentro del contexto internacional con una conceptualización de visión país y articulada con la Ley Orgánica del Poder Ejecutivo. También, el 2011, se aprueba la Ley N°29664, el cual es designada como Ley del Sistema Nacional de Gestión del Riesgo de Desastres, con su respectivo reglamento través del DS N°048-PCM, que tiene como objetivo la identificación y reducción de riesgos relacionados a peligros y control de sus efectos, así como la prevención de futuros riesgos; luego, en el mes de noviembre del 2012, se promulga la Política Nacional de Gestión del Riesgo de Desastres la cual se ha actualizado bajo DS N° 038-2021 – PCM denominándose Política Nacional de Gestión del Riesgo de Desastres al 2050 (PNGRD al 2050). </w:t>
      </w:r>
      <w:r w:rsidRPr="007D1B85">
        <w:rPr>
          <w:rFonts w:ascii="Times New Roman" w:eastAsia="Times New Roman" w:hAnsi="Times New Roman" w:cs="Times New Roman"/>
          <w:color w:val="000000"/>
        </w:rPr>
        <w:lastRenderedPageBreak/>
        <w:t>En el mes de mayo del 2014, se logró la aprobación del Plan Nacional de Gestión del Riesgo de Desastres, donde se establecen los lineamientos</w:t>
      </w:r>
      <w:r>
        <w:rPr>
          <w:rFonts w:ascii="Times New Roman" w:eastAsia="Times New Roman" w:hAnsi="Times New Roman" w:cs="Times New Roman"/>
          <w:color w:val="000000"/>
        </w:rPr>
        <w:t xml:space="preserve"> </w:t>
      </w:r>
      <w:r w:rsidRPr="007D1B85">
        <w:rPr>
          <w:rFonts w:ascii="Times New Roman" w:eastAsia="Times New Roman" w:hAnsi="Times New Roman" w:cs="Times New Roman"/>
          <w:color w:val="000000"/>
        </w:rPr>
        <w:t>que deben ejecutar los 3 niveles de gobierno la cual no es solamente reactiva si no que ya ve los componentes prospectivo y correctivo con los 7 procesos de la Gestión del Riesgo de Desastres, en los cuales debemos participar como sector de acuerdo a nuestras competencias</w:t>
      </w:r>
    </w:p>
    <w:p w14:paraId="6AE52677" w14:textId="676A7DFC" w:rsidR="002B1DE5" w:rsidRPr="00EF3C94" w:rsidRDefault="007D1B85" w:rsidP="00535FAB">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rPr>
      </w:pPr>
      <w:r w:rsidRPr="007D1B85">
        <w:rPr>
          <w:rFonts w:ascii="Times New Roman" w:eastAsia="Times New Roman" w:hAnsi="Times New Roman" w:cs="Times New Roman"/>
        </w:rPr>
        <w:t>Es importante destacar que tanto el PLANAGERD y la Política Nacional de GRD al 2050 está alineada al principal marco internacional sobre la GRD (el Marco de Sendai 2015-2030) por ello el cumplimiento de las prioridades de Sendai se va lograr implementando adecuadamente los dos principales instrumentos nacionales. En el siguiente apartado, se muestra una matriz donde articulamos los objetivos prioritarios de la PNGRD al 2050 con el objetivo estratégico del PLANAGERD 2014-2021 y las 4 prioridades del Marco de Sendai que se muestra a continuación:</w:t>
      </w:r>
    </w:p>
    <w:tbl>
      <w:tblPr>
        <w:tblStyle w:val="Tablaconcuadrcula"/>
        <w:tblW w:w="0" w:type="auto"/>
        <w:tblLook w:val="04A0" w:firstRow="1" w:lastRow="0" w:firstColumn="1" w:lastColumn="0" w:noHBand="0" w:noVBand="1"/>
      </w:tblPr>
      <w:tblGrid>
        <w:gridCol w:w="2547"/>
        <w:gridCol w:w="2737"/>
        <w:gridCol w:w="2643"/>
      </w:tblGrid>
      <w:tr w:rsidR="002B1DE5" w:rsidRPr="000756FD" w14:paraId="35BBE320" w14:textId="77777777" w:rsidTr="009702EA">
        <w:tc>
          <w:tcPr>
            <w:tcW w:w="2547" w:type="dxa"/>
          </w:tcPr>
          <w:p w14:paraId="5C6D53EB" w14:textId="77777777" w:rsidR="00535FAB" w:rsidRPr="000756FD" w:rsidRDefault="002B1DE5" w:rsidP="00535FAB">
            <w:pPr>
              <w:tabs>
                <w:tab w:val="left" w:pos="8222"/>
              </w:tabs>
              <w:jc w:val="center"/>
              <w:rPr>
                <w:rFonts w:ascii="Times New Roman" w:eastAsia="Times New Roman" w:hAnsi="Times New Roman" w:cs="Times New Roman"/>
                <w:lang w:eastAsia="es-PE"/>
              </w:rPr>
            </w:pPr>
            <w:r w:rsidRPr="000756FD">
              <w:rPr>
                <w:rFonts w:ascii="Times New Roman" w:eastAsia="Times New Roman" w:hAnsi="Times New Roman" w:cs="Times New Roman"/>
                <w:lang w:eastAsia="es-PE"/>
              </w:rPr>
              <w:t>Marco de Sendai</w:t>
            </w:r>
            <w:r w:rsidR="00535FAB" w:rsidRPr="000756FD">
              <w:rPr>
                <w:rFonts w:ascii="Times New Roman" w:eastAsia="Times New Roman" w:hAnsi="Times New Roman" w:cs="Times New Roman"/>
                <w:lang w:eastAsia="es-PE"/>
              </w:rPr>
              <w:t xml:space="preserve"> </w:t>
            </w:r>
          </w:p>
          <w:p w14:paraId="54447C23" w14:textId="520672C2" w:rsidR="002B1DE5" w:rsidRPr="000756FD" w:rsidRDefault="00535FAB" w:rsidP="00535FAB">
            <w:pPr>
              <w:tabs>
                <w:tab w:val="left" w:pos="8222"/>
              </w:tabs>
              <w:jc w:val="center"/>
              <w:rPr>
                <w:rFonts w:ascii="Times New Roman" w:eastAsia="Times New Roman" w:hAnsi="Times New Roman" w:cs="Times New Roman"/>
                <w:lang w:eastAsia="es-PE"/>
              </w:rPr>
            </w:pPr>
            <w:r w:rsidRPr="000756FD">
              <w:rPr>
                <w:rFonts w:ascii="Times New Roman" w:eastAsia="Times New Roman" w:hAnsi="Times New Roman" w:cs="Times New Roman"/>
                <w:lang w:eastAsia="es-PE"/>
              </w:rPr>
              <w:t>2015-2030</w:t>
            </w:r>
          </w:p>
        </w:tc>
        <w:tc>
          <w:tcPr>
            <w:tcW w:w="2737" w:type="dxa"/>
          </w:tcPr>
          <w:p w14:paraId="0BB7A641" w14:textId="77777777" w:rsidR="00535FAB" w:rsidRPr="000756FD" w:rsidRDefault="002B1DE5" w:rsidP="00535FAB">
            <w:pPr>
              <w:tabs>
                <w:tab w:val="left" w:pos="8222"/>
              </w:tabs>
              <w:jc w:val="center"/>
              <w:rPr>
                <w:rFonts w:ascii="Times New Roman" w:eastAsia="Times New Roman" w:hAnsi="Times New Roman" w:cs="Times New Roman"/>
                <w:lang w:eastAsia="es-PE"/>
              </w:rPr>
            </w:pPr>
            <w:r w:rsidRPr="000756FD">
              <w:rPr>
                <w:rFonts w:ascii="Times New Roman" w:eastAsia="Times New Roman" w:hAnsi="Times New Roman" w:cs="Times New Roman"/>
                <w:lang w:eastAsia="es-PE"/>
              </w:rPr>
              <w:t xml:space="preserve">PLANAGERD </w:t>
            </w:r>
          </w:p>
          <w:p w14:paraId="625B31BD" w14:textId="423F2693" w:rsidR="002B1DE5" w:rsidRPr="000756FD" w:rsidRDefault="002B1DE5" w:rsidP="00535FAB">
            <w:pPr>
              <w:tabs>
                <w:tab w:val="left" w:pos="8222"/>
              </w:tabs>
              <w:jc w:val="center"/>
              <w:rPr>
                <w:rFonts w:ascii="Times New Roman" w:eastAsia="Times New Roman" w:hAnsi="Times New Roman" w:cs="Times New Roman"/>
                <w:lang w:eastAsia="es-PE"/>
              </w:rPr>
            </w:pPr>
            <w:r w:rsidRPr="000756FD">
              <w:rPr>
                <w:rFonts w:ascii="Times New Roman" w:eastAsia="Times New Roman" w:hAnsi="Times New Roman" w:cs="Times New Roman"/>
                <w:lang w:eastAsia="es-PE"/>
              </w:rPr>
              <w:t>2014-2021</w:t>
            </w:r>
          </w:p>
        </w:tc>
        <w:tc>
          <w:tcPr>
            <w:tcW w:w="2643" w:type="dxa"/>
          </w:tcPr>
          <w:p w14:paraId="5F90167F" w14:textId="064E72E3" w:rsidR="002B1DE5" w:rsidRPr="000756FD" w:rsidRDefault="002B1DE5" w:rsidP="00535FAB">
            <w:pPr>
              <w:tabs>
                <w:tab w:val="left" w:pos="8222"/>
              </w:tabs>
              <w:jc w:val="center"/>
              <w:rPr>
                <w:rFonts w:ascii="Times New Roman" w:eastAsia="Times New Roman" w:hAnsi="Times New Roman" w:cs="Times New Roman"/>
                <w:lang w:eastAsia="es-PE"/>
              </w:rPr>
            </w:pPr>
            <w:r w:rsidRPr="000756FD">
              <w:rPr>
                <w:rFonts w:ascii="Times New Roman" w:eastAsia="Times New Roman" w:hAnsi="Times New Roman" w:cs="Times New Roman"/>
                <w:lang w:eastAsia="es-PE"/>
              </w:rPr>
              <w:t>Política Nacional de GRD al 2050</w:t>
            </w:r>
          </w:p>
        </w:tc>
      </w:tr>
      <w:tr w:rsidR="002B1DE5" w:rsidRPr="000756FD" w14:paraId="1877154D" w14:textId="77777777" w:rsidTr="009702EA">
        <w:tc>
          <w:tcPr>
            <w:tcW w:w="2547" w:type="dxa"/>
          </w:tcPr>
          <w:p w14:paraId="04050610" w14:textId="5ECB82AA" w:rsidR="002B1DE5" w:rsidRPr="00A731B7" w:rsidRDefault="002B1DE5"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Prioridad 1: Comprender el riesgo de desastres.</w:t>
            </w:r>
          </w:p>
        </w:tc>
        <w:tc>
          <w:tcPr>
            <w:tcW w:w="2737" w:type="dxa"/>
          </w:tcPr>
          <w:p w14:paraId="5E8174EB" w14:textId="17015E5B" w:rsidR="007D1B85" w:rsidRPr="00A731B7" w:rsidRDefault="007D1B85" w:rsidP="007D1B85">
            <w:pPr>
              <w:pStyle w:val="TableParagraph"/>
              <w:tabs>
                <w:tab w:val="left" w:pos="1027"/>
                <w:tab w:val="left" w:pos="1073"/>
                <w:tab w:val="left" w:pos="1904"/>
              </w:tabs>
              <w:ind w:right="-61"/>
              <w:rPr>
                <w:sz w:val="20"/>
                <w:szCs w:val="20"/>
              </w:rPr>
            </w:pPr>
            <w:r w:rsidRPr="00A731B7">
              <w:rPr>
                <w:sz w:val="20"/>
                <w:szCs w:val="20"/>
              </w:rPr>
              <w:t>OE1.</w:t>
            </w:r>
            <w:r w:rsidRPr="00A731B7">
              <w:rPr>
                <w:sz w:val="20"/>
                <w:szCs w:val="20"/>
              </w:rPr>
              <w:tab/>
              <w:t>Desarrollar</w:t>
            </w:r>
            <w:r w:rsidRPr="00A731B7">
              <w:rPr>
                <w:sz w:val="20"/>
                <w:szCs w:val="20"/>
              </w:rPr>
              <w:tab/>
            </w:r>
            <w:r w:rsidRPr="00A731B7">
              <w:rPr>
                <w:spacing w:val="-1"/>
                <w:sz w:val="20"/>
                <w:szCs w:val="20"/>
              </w:rPr>
              <w:t>el</w:t>
            </w:r>
            <w:r w:rsidRPr="00A731B7">
              <w:rPr>
                <w:spacing w:val="-52"/>
                <w:sz w:val="20"/>
                <w:szCs w:val="20"/>
              </w:rPr>
              <w:t xml:space="preserve"> </w:t>
            </w:r>
            <w:r w:rsidRPr="00A731B7">
              <w:rPr>
                <w:sz w:val="20"/>
                <w:szCs w:val="20"/>
              </w:rPr>
              <w:t>conocimiento del riesgo</w:t>
            </w:r>
            <w:r w:rsidRPr="00A731B7">
              <w:rPr>
                <w:spacing w:val="1"/>
                <w:sz w:val="20"/>
                <w:szCs w:val="20"/>
              </w:rPr>
              <w:t xml:space="preserve"> </w:t>
            </w:r>
            <w:r w:rsidRPr="00A731B7">
              <w:rPr>
                <w:sz w:val="20"/>
                <w:szCs w:val="20"/>
              </w:rPr>
              <w:t>OE6.</w:t>
            </w:r>
            <w:r w:rsidRPr="00A731B7">
              <w:rPr>
                <w:sz w:val="20"/>
                <w:szCs w:val="20"/>
              </w:rPr>
              <w:tab/>
            </w:r>
            <w:r w:rsidRPr="00A731B7">
              <w:rPr>
                <w:sz w:val="20"/>
                <w:szCs w:val="20"/>
              </w:rPr>
              <w:tab/>
              <w:t>Fortalecer</w:t>
            </w:r>
            <w:r w:rsidRPr="00A731B7">
              <w:rPr>
                <w:sz w:val="20"/>
                <w:szCs w:val="20"/>
              </w:rPr>
              <w:tab/>
            </w:r>
            <w:r w:rsidRPr="00A731B7">
              <w:rPr>
                <w:spacing w:val="-1"/>
                <w:sz w:val="20"/>
                <w:szCs w:val="20"/>
              </w:rPr>
              <w:t>el i</w:t>
            </w:r>
            <w:r w:rsidRPr="00A731B7">
              <w:rPr>
                <w:sz w:val="20"/>
                <w:szCs w:val="20"/>
              </w:rPr>
              <w:t>nvolucramiento</w:t>
            </w:r>
            <w:r w:rsidRPr="00A731B7">
              <w:rPr>
                <w:sz w:val="20"/>
                <w:szCs w:val="20"/>
              </w:rPr>
              <w:tab/>
              <w:t>de</w:t>
            </w:r>
            <w:r w:rsidRPr="00A731B7">
              <w:rPr>
                <w:sz w:val="20"/>
                <w:szCs w:val="20"/>
              </w:rPr>
              <w:tab/>
            </w:r>
            <w:r w:rsidRPr="00A731B7">
              <w:rPr>
                <w:spacing w:val="-2"/>
                <w:sz w:val="20"/>
                <w:szCs w:val="20"/>
              </w:rPr>
              <w:t>la</w:t>
            </w:r>
            <w:r w:rsidRPr="00A731B7">
              <w:rPr>
                <w:spacing w:val="-52"/>
                <w:sz w:val="20"/>
                <w:szCs w:val="20"/>
              </w:rPr>
              <w:t xml:space="preserve"> </w:t>
            </w:r>
            <w:r w:rsidRPr="00A731B7">
              <w:rPr>
                <w:sz w:val="20"/>
                <w:szCs w:val="20"/>
              </w:rPr>
              <w:t>sociedad</w:t>
            </w:r>
            <w:r w:rsidRPr="00A731B7">
              <w:rPr>
                <w:spacing w:val="1"/>
                <w:sz w:val="20"/>
                <w:szCs w:val="20"/>
              </w:rPr>
              <w:t xml:space="preserve"> </w:t>
            </w:r>
            <w:r w:rsidRPr="00A731B7">
              <w:rPr>
                <w:sz w:val="20"/>
                <w:szCs w:val="20"/>
              </w:rPr>
              <w:t>y</w:t>
            </w:r>
            <w:r w:rsidRPr="00A731B7">
              <w:rPr>
                <w:spacing w:val="1"/>
                <w:sz w:val="20"/>
                <w:szCs w:val="20"/>
              </w:rPr>
              <w:t xml:space="preserve"> </w:t>
            </w:r>
            <w:r w:rsidRPr="00A731B7">
              <w:rPr>
                <w:sz w:val="20"/>
                <w:szCs w:val="20"/>
              </w:rPr>
              <w:t>población</w:t>
            </w:r>
            <w:r w:rsidRPr="00A731B7">
              <w:rPr>
                <w:spacing w:val="4"/>
                <w:sz w:val="20"/>
                <w:szCs w:val="20"/>
              </w:rPr>
              <w:t xml:space="preserve"> </w:t>
            </w:r>
            <w:r w:rsidRPr="00A731B7">
              <w:rPr>
                <w:sz w:val="20"/>
                <w:szCs w:val="20"/>
              </w:rPr>
              <w:t>para</w:t>
            </w:r>
            <w:r w:rsidRPr="00A731B7">
              <w:rPr>
                <w:spacing w:val="-1"/>
                <w:sz w:val="20"/>
                <w:szCs w:val="20"/>
              </w:rPr>
              <w:t xml:space="preserve"> </w:t>
            </w:r>
            <w:r w:rsidRPr="00A731B7">
              <w:rPr>
                <w:sz w:val="20"/>
                <w:szCs w:val="20"/>
              </w:rPr>
              <w:t>el</w:t>
            </w:r>
            <w:r w:rsidRPr="00A731B7">
              <w:rPr>
                <w:spacing w:val="-52"/>
                <w:sz w:val="20"/>
                <w:szCs w:val="20"/>
              </w:rPr>
              <w:t xml:space="preserve"> </w:t>
            </w:r>
            <w:r w:rsidRPr="00A731B7">
              <w:rPr>
                <w:sz w:val="20"/>
                <w:szCs w:val="20"/>
              </w:rPr>
              <w:t>desarrollo</w:t>
            </w:r>
            <w:r w:rsidRPr="00A731B7">
              <w:rPr>
                <w:spacing w:val="18"/>
                <w:sz w:val="20"/>
                <w:szCs w:val="20"/>
              </w:rPr>
              <w:t xml:space="preserve"> </w:t>
            </w:r>
            <w:r w:rsidRPr="00A731B7">
              <w:rPr>
                <w:sz w:val="20"/>
                <w:szCs w:val="20"/>
              </w:rPr>
              <w:t>de</w:t>
            </w:r>
            <w:r w:rsidRPr="00A731B7">
              <w:rPr>
                <w:spacing w:val="15"/>
                <w:sz w:val="20"/>
                <w:szCs w:val="20"/>
              </w:rPr>
              <w:t xml:space="preserve"> </w:t>
            </w:r>
            <w:r w:rsidRPr="00A731B7">
              <w:rPr>
                <w:sz w:val="20"/>
                <w:szCs w:val="20"/>
              </w:rPr>
              <w:t>una</w:t>
            </w:r>
            <w:r w:rsidRPr="00A731B7">
              <w:rPr>
                <w:spacing w:val="15"/>
                <w:sz w:val="20"/>
                <w:szCs w:val="20"/>
              </w:rPr>
              <w:t xml:space="preserve"> </w:t>
            </w:r>
            <w:r w:rsidRPr="00A731B7">
              <w:rPr>
                <w:sz w:val="20"/>
                <w:szCs w:val="20"/>
              </w:rPr>
              <w:t>cultura</w:t>
            </w:r>
            <w:r w:rsidRPr="00A731B7">
              <w:rPr>
                <w:spacing w:val="14"/>
                <w:sz w:val="20"/>
                <w:szCs w:val="20"/>
              </w:rPr>
              <w:t xml:space="preserve"> </w:t>
            </w:r>
            <w:r w:rsidRPr="00A731B7">
              <w:rPr>
                <w:sz w:val="20"/>
                <w:szCs w:val="20"/>
              </w:rPr>
              <w:t>de</w:t>
            </w:r>
          </w:p>
          <w:p w14:paraId="4FC65992" w14:textId="276F489E" w:rsidR="009702EA" w:rsidRPr="00A731B7" w:rsidRDefault="007D1B85" w:rsidP="007D1B85">
            <w:pPr>
              <w:tabs>
                <w:tab w:val="left" w:pos="8222"/>
              </w:tabs>
              <w:jc w:val="both"/>
              <w:rPr>
                <w:rFonts w:ascii="Times New Roman" w:eastAsia="Times New Roman" w:hAnsi="Times New Roman" w:cs="Times New Roman"/>
                <w:sz w:val="20"/>
                <w:szCs w:val="20"/>
                <w:lang w:eastAsia="es-PE"/>
              </w:rPr>
            </w:pPr>
            <w:r w:rsidRPr="00A731B7">
              <w:rPr>
                <w:sz w:val="20"/>
                <w:szCs w:val="20"/>
              </w:rPr>
              <w:t>prevención.</w:t>
            </w:r>
          </w:p>
        </w:tc>
        <w:tc>
          <w:tcPr>
            <w:tcW w:w="2643" w:type="dxa"/>
          </w:tcPr>
          <w:p w14:paraId="07671401" w14:textId="5B580964" w:rsidR="002B1DE5"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 xml:space="preserve">O.P.1. </w:t>
            </w:r>
            <w:r w:rsidR="007D1B85" w:rsidRPr="00A731B7">
              <w:rPr>
                <w:rFonts w:ascii="Times New Roman" w:eastAsia="Times New Roman" w:hAnsi="Times New Roman" w:cs="Times New Roman"/>
                <w:sz w:val="20"/>
                <w:szCs w:val="20"/>
                <w:lang w:eastAsia="es-PE"/>
              </w:rPr>
              <w:t>Mejorar la reflexión sobre el riesgo de desastres para la toma de decisiones a nivel de la sociedad y las instituciones del Estado</w:t>
            </w:r>
            <w:r w:rsidRPr="00A731B7">
              <w:rPr>
                <w:rFonts w:ascii="Times New Roman" w:eastAsia="Times New Roman" w:hAnsi="Times New Roman" w:cs="Times New Roman"/>
                <w:sz w:val="20"/>
                <w:szCs w:val="20"/>
                <w:lang w:eastAsia="es-PE"/>
              </w:rPr>
              <w:t>.</w:t>
            </w:r>
          </w:p>
        </w:tc>
      </w:tr>
      <w:tr w:rsidR="002B1DE5" w:rsidRPr="000756FD" w14:paraId="61554428" w14:textId="77777777" w:rsidTr="00535FAB">
        <w:trPr>
          <w:trHeight w:val="2770"/>
        </w:trPr>
        <w:tc>
          <w:tcPr>
            <w:tcW w:w="2547" w:type="dxa"/>
          </w:tcPr>
          <w:p w14:paraId="2B78E186" w14:textId="4F70AEF6" w:rsidR="002B1DE5" w:rsidRPr="00A731B7" w:rsidRDefault="002B1DE5"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Prioridad 2: Fortalecer la gobernanza del riesgo de desastres para gestionar dicho riesgo</w:t>
            </w:r>
          </w:p>
        </w:tc>
        <w:tc>
          <w:tcPr>
            <w:tcW w:w="2737" w:type="dxa"/>
          </w:tcPr>
          <w:p w14:paraId="3823CFA5" w14:textId="77777777" w:rsidR="002B1DE5" w:rsidRPr="00A731B7" w:rsidRDefault="002B1DE5"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2. Evitar y Reducir las condiciones de riesgo de los medios de vida de la población con un enfoque territorial</w:t>
            </w:r>
          </w:p>
          <w:p w14:paraId="57708E25" w14:textId="625E5C07"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5. Fortalecer las capacidades institucionales para el desarrollo de la gestión del riesgo de desastres</w:t>
            </w:r>
          </w:p>
        </w:tc>
        <w:tc>
          <w:tcPr>
            <w:tcW w:w="2643" w:type="dxa"/>
          </w:tcPr>
          <w:p w14:paraId="19C0BD3E" w14:textId="2DA9C73C"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 xml:space="preserve">OP: 2 Mejorar las condiciones de ocupación y uso </w:t>
            </w:r>
            <w:r w:rsidR="000756FD" w:rsidRPr="00A731B7">
              <w:rPr>
                <w:rFonts w:ascii="Times New Roman" w:eastAsia="Times New Roman" w:hAnsi="Times New Roman" w:cs="Times New Roman"/>
                <w:sz w:val="20"/>
                <w:szCs w:val="20"/>
                <w:lang w:eastAsia="es-PE"/>
              </w:rPr>
              <w:t xml:space="preserve">teniendo en cuenta </w:t>
            </w:r>
            <w:r w:rsidRPr="00A731B7">
              <w:rPr>
                <w:rFonts w:ascii="Times New Roman" w:eastAsia="Times New Roman" w:hAnsi="Times New Roman" w:cs="Times New Roman"/>
                <w:sz w:val="20"/>
                <w:szCs w:val="20"/>
                <w:lang w:eastAsia="es-PE"/>
              </w:rPr>
              <w:t xml:space="preserve">el riesgo de desastres </w:t>
            </w:r>
            <w:r w:rsidR="000756FD" w:rsidRPr="00A731B7">
              <w:rPr>
                <w:rFonts w:ascii="Times New Roman" w:eastAsia="Times New Roman" w:hAnsi="Times New Roman" w:cs="Times New Roman"/>
                <w:sz w:val="20"/>
                <w:szCs w:val="20"/>
                <w:lang w:eastAsia="es-PE"/>
              </w:rPr>
              <w:t>en algunas zonas</w:t>
            </w:r>
            <w:r w:rsidRPr="00A731B7">
              <w:rPr>
                <w:rFonts w:ascii="Times New Roman" w:eastAsia="Times New Roman" w:hAnsi="Times New Roman" w:cs="Times New Roman"/>
                <w:sz w:val="20"/>
                <w:szCs w:val="20"/>
                <w:lang w:eastAsia="es-PE"/>
              </w:rPr>
              <w:t>.</w:t>
            </w:r>
          </w:p>
          <w:p w14:paraId="140A11B0" w14:textId="05C3BE43"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 xml:space="preserve">O.P.3. Mejorar la implementación articulada de la </w:t>
            </w:r>
            <w:r w:rsidR="000756FD" w:rsidRPr="00A731B7">
              <w:rPr>
                <w:rFonts w:ascii="Times New Roman" w:eastAsia="Times New Roman" w:hAnsi="Times New Roman" w:cs="Times New Roman"/>
                <w:sz w:val="20"/>
                <w:szCs w:val="20"/>
                <w:lang w:eastAsia="es-PE"/>
              </w:rPr>
              <w:t>GRD</w:t>
            </w:r>
            <w:r w:rsidRPr="00A731B7">
              <w:rPr>
                <w:rFonts w:ascii="Times New Roman" w:eastAsia="Times New Roman" w:hAnsi="Times New Roman" w:cs="Times New Roman"/>
                <w:sz w:val="20"/>
                <w:szCs w:val="20"/>
                <w:lang w:eastAsia="es-PE"/>
              </w:rPr>
              <w:t xml:space="preserve"> en el territorio</w:t>
            </w:r>
          </w:p>
        </w:tc>
      </w:tr>
      <w:tr w:rsidR="002B1DE5" w:rsidRPr="000756FD" w14:paraId="61829BAF" w14:textId="77777777" w:rsidTr="009702EA">
        <w:tc>
          <w:tcPr>
            <w:tcW w:w="2547" w:type="dxa"/>
          </w:tcPr>
          <w:p w14:paraId="1F24ADB7" w14:textId="501104C2" w:rsidR="002B1DE5" w:rsidRPr="00A731B7" w:rsidRDefault="002B1DE5"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 xml:space="preserve">Prioridad 3: Invertir en la reducción del riesgo de desastres para la resiliencia. </w:t>
            </w:r>
          </w:p>
        </w:tc>
        <w:tc>
          <w:tcPr>
            <w:tcW w:w="2737" w:type="dxa"/>
          </w:tcPr>
          <w:p w14:paraId="5D2910A2" w14:textId="35DA5162" w:rsidR="002B1DE5"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4. Fortalecer la capacidad para la recuperación física, económica y social</w:t>
            </w:r>
          </w:p>
        </w:tc>
        <w:tc>
          <w:tcPr>
            <w:tcW w:w="2643" w:type="dxa"/>
          </w:tcPr>
          <w:p w14:paraId="0B6FF7D0" w14:textId="52B7F3F3" w:rsidR="002B1DE5"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O.P.4. Fortalecer la incorporación de la gestión del riesgo de desastres en la inversión pública y privada</w:t>
            </w:r>
          </w:p>
        </w:tc>
      </w:tr>
      <w:tr w:rsidR="002B1DE5" w:rsidRPr="000756FD" w14:paraId="100098FC" w14:textId="77777777" w:rsidTr="009702EA">
        <w:tc>
          <w:tcPr>
            <w:tcW w:w="2547" w:type="dxa"/>
          </w:tcPr>
          <w:p w14:paraId="6A9B8075" w14:textId="7E896908" w:rsidR="002B1DE5" w:rsidRPr="00A731B7" w:rsidRDefault="002B1DE5"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18"/>
                <w:szCs w:val="18"/>
                <w:lang w:eastAsia="es-PE"/>
              </w:rPr>
              <w:t xml:space="preserve">Prioridad 4: Aumentar la preparación para casos de desastre a fin de dar una respuesta eficaz y para “reconstruir mejor” en los ámbitos de la recuperación, la rehabilitación y la reconstrucción. </w:t>
            </w:r>
          </w:p>
        </w:tc>
        <w:tc>
          <w:tcPr>
            <w:tcW w:w="2737" w:type="dxa"/>
          </w:tcPr>
          <w:p w14:paraId="467556F6" w14:textId="77777777"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 xml:space="preserve">OE.3. </w:t>
            </w:r>
            <w:r w:rsidR="002B1DE5" w:rsidRPr="00A731B7">
              <w:rPr>
                <w:rFonts w:ascii="Times New Roman" w:eastAsia="Times New Roman" w:hAnsi="Times New Roman" w:cs="Times New Roman"/>
                <w:sz w:val="20"/>
                <w:szCs w:val="20"/>
                <w:lang w:eastAsia="es-PE"/>
              </w:rPr>
              <w:t>Desarrollar capacidad de respuesta ante emergencias y desastres</w:t>
            </w:r>
          </w:p>
          <w:p w14:paraId="6A9BFA51" w14:textId="0782F81E"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OE4. Fortalecer la capacidad para la recuperación física, económica y social</w:t>
            </w:r>
          </w:p>
        </w:tc>
        <w:tc>
          <w:tcPr>
            <w:tcW w:w="2643" w:type="dxa"/>
          </w:tcPr>
          <w:p w14:paraId="7FACC958" w14:textId="77777777" w:rsidR="002B1DE5"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O.P.5. Asegurar la atención de la población ante la ocurrencia de emergencias y desastres.</w:t>
            </w:r>
          </w:p>
          <w:p w14:paraId="7CDEF241" w14:textId="2F3F3E5F" w:rsidR="009702EA" w:rsidRPr="00A731B7" w:rsidRDefault="009702EA" w:rsidP="00535FAB">
            <w:pPr>
              <w:tabs>
                <w:tab w:val="left" w:pos="8222"/>
              </w:tabs>
              <w:jc w:val="both"/>
              <w:rPr>
                <w:rFonts w:ascii="Times New Roman" w:eastAsia="Times New Roman" w:hAnsi="Times New Roman" w:cs="Times New Roman"/>
                <w:sz w:val="20"/>
                <w:szCs w:val="20"/>
                <w:lang w:eastAsia="es-PE"/>
              </w:rPr>
            </w:pPr>
            <w:r w:rsidRPr="00A731B7">
              <w:rPr>
                <w:rFonts w:ascii="Times New Roman" w:eastAsia="Times New Roman" w:hAnsi="Times New Roman" w:cs="Times New Roman"/>
                <w:sz w:val="20"/>
                <w:szCs w:val="20"/>
                <w:lang w:eastAsia="es-PE"/>
              </w:rPr>
              <w:t>O.P.6. Mejorar la recuperación de la población y sus medios de vida afectados por emergencias y desastres</w:t>
            </w:r>
          </w:p>
        </w:tc>
      </w:tr>
    </w:tbl>
    <w:p w14:paraId="7D325988" w14:textId="79F939FB" w:rsidR="005A6F99" w:rsidRPr="00EF3C94" w:rsidRDefault="005A6F99" w:rsidP="002B1DE5">
      <w:pPr>
        <w:pBdr>
          <w:top w:val="nil"/>
          <w:left w:val="nil"/>
          <w:bottom w:val="nil"/>
          <w:right w:val="nil"/>
          <w:between w:val="nil"/>
        </w:pBdr>
        <w:tabs>
          <w:tab w:val="left" w:pos="8222"/>
        </w:tabs>
        <w:spacing w:after="200"/>
        <w:jc w:val="both"/>
        <w:rPr>
          <w:rFonts w:ascii="Times New Roman" w:eastAsia="Times New Roman" w:hAnsi="Times New Roman" w:cs="Times New Roman"/>
        </w:rPr>
      </w:pPr>
    </w:p>
    <w:p w14:paraId="48D27575" w14:textId="47BB83AA" w:rsidR="00AA0894" w:rsidRPr="00535FAB" w:rsidRDefault="003F3EEB" w:rsidP="000756FD">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bookmarkStart w:id="31" w:name="_Hlk117515326"/>
      <w:r>
        <w:rPr>
          <w:rFonts w:ascii="Times New Roman" w:eastAsia="Times New Roman" w:hAnsi="Times New Roman" w:cs="Times New Roman"/>
          <w:color w:val="000000"/>
        </w:rPr>
        <w:t xml:space="preserve">De conformidad con los lineamientos del Plan Nacional de Gestión del Riesgo de Desastres 2014-2021, el Sector Defensa debe </w:t>
      </w:r>
      <w:r w:rsidR="000756FD">
        <w:rPr>
          <w:rFonts w:ascii="Times New Roman" w:eastAsia="Times New Roman" w:hAnsi="Times New Roman" w:cs="Times New Roman"/>
          <w:color w:val="000000"/>
        </w:rPr>
        <w:t>incluir</w:t>
      </w:r>
      <w:r>
        <w:rPr>
          <w:rFonts w:ascii="Times New Roman" w:eastAsia="Times New Roman" w:hAnsi="Times New Roman" w:cs="Times New Roman"/>
          <w:color w:val="000000"/>
        </w:rPr>
        <w:t xml:space="preserve"> los procesos y componentes de la </w:t>
      </w:r>
      <w:r w:rsidR="000756FD">
        <w:rPr>
          <w:rFonts w:ascii="Times New Roman" w:eastAsia="Times New Roman" w:hAnsi="Times New Roman" w:cs="Times New Roman"/>
          <w:color w:val="000000"/>
        </w:rPr>
        <w:t>GRD</w:t>
      </w:r>
      <w:r>
        <w:rPr>
          <w:rFonts w:ascii="Times New Roman" w:eastAsia="Times New Roman" w:hAnsi="Times New Roman" w:cs="Times New Roman"/>
          <w:color w:val="000000"/>
        </w:rPr>
        <w:t xml:space="preserve">, intrínsecamente en toda su organización, así como fomentar la generación de una cultura preventiva como pilar necesario para el desarrollo y el fortalecimiento institucional,  generar capacidades para aplicar medidas </w:t>
      </w:r>
      <w:r w:rsidRPr="00535FAB">
        <w:rPr>
          <w:rFonts w:ascii="Times New Roman" w:eastAsia="Times New Roman" w:hAnsi="Times New Roman" w:cs="Times New Roman"/>
          <w:color w:val="000000"/>
        </w:rPr>
        <w:t xml:space="preserve">estratégicas, operativas y financieras que permitan disminuir los riesgos que implican ciertas actividades, debiendo prevenir de nuevos riesgos. (Directiva N° 021-2020- DE/SG/VPD/DIGEPE/DIRMOV, 2020). </w:t>
      </w:r>
    </w:p>
    <w:p w14:paraId="4CF0EAE9" w14:textId="58B2218C" w:rsidR="001566BC" w:rsidRPr="00535FAB" w:rsidRDefault="00AA0894" w:rsidP="00AA0894">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bookmarkStart w:id="32" w:name="_Hlk117515333"/>
      <w:bookmarkEnd w:id="31"/>
      <w:r w:rsidRPr="00535FAB">
        <w:rPr>
          <w:rFonts w:ascii="Times New Roman" w:eastAsia="Times New Roman" w:hAnsi="Times New Roman" w:cs="Times New Roman"/>
          <w:color w:val="000000"/>
        </w:rPr>
        <w:t>Para</w:t>
      </w:r>
      <w:r w:rsidR="001566BC" w:rsidRPr="00535FAB">
        <w:rPr>
          <w:rFonts w:ascii="Times New Roman" w:eastAsia="Times New Roman" w:hAnsi="Times New Roman" w:cs="Times New Roman"/>
          <w:color w:val="000000"/>
        </w:rPr>
        <w:t xml:space="preserve"> lograr la inclusión de la GRD en el Sector </w:t>
      </w:r>
      <w:r w:rsidR="00364717" w:rsidRPr="00535FAB">
        <w:rPr>
          <w:rFonts w:ascii="Times New Roman" w:eastAsia="Times New Roman" w:hAnsi="Times New Roman" w:cs="Times New Roman"/>
          <w:color w:val="000000"/>
          <w:lang w:val="es-ES_tradnl"/>
        </w:rPr>
        <w:t xml:space="preserve">se ha incluido </w:t>
      </w:r>
      <w:r w:rsidR="001566BC" w:rsidRPr="00535FAB">
        <w:rPr>
          <w:rFonts w:ascii="Times New Roman" w:eastAsia="Times New Roman" w:hAnsi="Times New Roman" w:cs="Times New Roman"/>
          <w:color w:val="000000"/>
          <w:lang w:val="es-ES_tradnl"/>
        </w:rPr>
        <w:t xml:space="preserve">en los principales instrumentos de gestión por ello se ve como en el ROF se define que la </w:t>
      </w:r>
      <w:r w:rsidR="00B253FC" w:rsidRPr="00535FAB">
        <w:rPr>
          <w:rFonts w:ascii="Times New Roman" w:eastAsia="Times New Roman" w:hAnsi="Times New Roman" w:cs="Times New Roman"/>
          <w:color w:val="000000"/>
          <w:lang w:val="es-ES_tradnl"/>
        </w:rPr>
        <w:t xml:space="preserve">Dirección General de Política y </w:t>
      </w:r>
      <w:r w:rsidR="003B6280" w:rsidRPr="00535FAB">
        <w:rPr>
          <w:rFonts w:ascii="Times New Roman" w:eastAsia="Times New Roman" w:hAnsi="Times New Roman" w:cs="Times New Roman"/>
          <w:color w:val="000000"/>
          <w:lang w:val="es-ES_tradnl"/>
        </w:rPr>
        <w:t>Estrategia a</w:t>
      </w:r>
      <w:r w:rsidR="00B253FC" w:rsidRPr="00535FAB">
        <w:rPr>
          <w:rFonts w:ascii="Times New Roman" w:eastAsia="Times New Roman" w:hAnsi="Times New Roman" w:cs="Times New Roman"/>
          <w:color w:val="000000"/>
          <w:lang w:val="es-ES_tradnl"/>
        </w:rPr>
        <w:t xml:space="preserve"> través de la </w:t>
      </w:r>
      <w:r w:rsidR="001566BC" w:rsidRPr="00535FAB">
        <w:rPr>
          <w:rFonts w:ascii="Times New Roman" w:eastAsia="Times New Roman" w:hAnsi="Times New Roman" w:cs="Times New Roman"/>
          <w:color w:val="000000"/>
          <w:lang w:val="es-ES_tradnl"/>
        </w:rPr>
        <w:t xml:space="preserve">Dirección de Movilización (DIRMOV) se va encargar de impulsar la GRD en el Sector, asimismo se ha incluido en los instrumentos de planificación (PEI y POI) </w:t>
      </w:r>
      <w:r w:rsidR="00B253FC" w:rsidRPr="00535FAB">
        <w:rPr>
          <w:rFonts w:ascii="Times New Roman" w:eastAsia="Times New Roman" w:hAnsi="Times New Roman" w:cs="Times New Roman"/>
          <w:color w:val="000000"/>
          <w:lang w:val="es-ES_tradnl"/>
        </w:rPr>
        <w:t xml:space="preserve">en las </w:t>
      </w:r>
      <w:r w:rsidR="001566BC" w:rsidRPr="00535FAB">
        <w:rPr>
          <w:rFonts w:ascii="Times New Roman" w:eastAsia="Times New Roman" w:hAnsi="Times New Roman" w:cs="Times New Roman"/>
          <w:color w:val="000000"/>
          <w:lang w:val="es-ES_tradnl"/>
        </w:rPr>
        <w:t xml:space="preserve">acciones estratégicas y actividades operativas referentes a la </w:t>
      </w:r>
      <w:r w:rsidR="00B253FC" w:rsidRPr="00535FAB">
        <w:rPr>
          <w:rFonts w:ascii="Times New Roman" w:eastAsia="Times New Roman" w:hAnsi="Times New Roman" w:cs="Times New Roman"/>
          <w:color w:val="000000"/>
          <w:lang w:val="es-ES_tradnl"/>
        </w:rPr>
        <w:t>misma</w:t>
      </w:r>
      <w:r w:rsidR="001566BC" w:rsidRPr="00535FAB">
        <w:rPr>
          <w:rFonts w:ascii="Times New Roman" w:eastAsia="Times New Roman" w:hAnsi="Times New Roman" w:cs="Times New Roman"/>
          <w:color w:val="000000"/>
          <w:lang w:val="es-ES_tradnl"/>
        </w:rPr>
        <w:t xml:space="preserve">.  </w:t>
      </w:r>
    </w:p>
    <w:p w14:paraId="5170CB94" w14:textId="4E8D3BB9" w:rsidR="001566BC" w:rsidRPr="00535FAB" w:rsidRDefault="001566BC" w:rsidP="00AA0894">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bookmarkStart w:id="33" w:name="_Hlk117515341"/>
      <w:bookmarkEnd w:id="32"/>
      <w:r w:rsidRPr="00535FAB">
        <w:rPr>
          <w:rFonts w:ascii="Times New Roman" w:eastAsia="Times New Roman" w:hAnsi="Times New Roman" w:cs="Times New Roman"/>
          <w:color w:val="000000"/>
        </w:rPr>
        <w:t xml:space="preserve">A nivel de organización con la </w:t>
      </w:r>
      <w:r w:rsidR="000756FD">
        <w:rPr>
          <w:rFonts w:ascii="Times New Roman" w:eastAsia="Times New Roman" w:hAnsi="Times New Roman" w:cs="Times New Roman"/>
          <w:color w:val="000000"/>
        </w:rPr>
        <w:t>RM (</w:t>
      </w:r>
      <w:r w:rsidR="000756FD" w:rsidRPr="00535FAB">
        <w:rPr>
          <w:rFonts w:ascii="Times New Roman" w:eastAsia="Times New Roman" w:hAnsi="Times New Roman" w:cs="Times New Roman"/>
          <w:color w:val="000000"/>
        </w:rPr>
        <w:t>Resolución Ministerial</w:t>
      </w:r>
      <w:r w:rsidR="000756FD">
        <w:rPr>
          <w:rFonts w:ascii="Times New Roman" w:eastAsia="Times New Roman" w:hAnsi="Times New Roman" w:cs="Times New Roman"/>
          <w:color w:val="000000"/>
        </w:rPr>
        <w:t>)</w:t>
      </w:r>
      <w:r w:rsidR="000756FD" w:rsidRPr="00535FAB">
        <w:rPr>
          <w:rFonts w:ascii="Times New Roman" w:eastAsia="Times New Roman" w:hAnsi="Times New Roman" w:cs="Times New Roman"/>
          <w:color w:val="000000"/>
        </w:rPr>
        <w:t xml:space="preserve"> </w:t>
      </w:r>
      <w:r w:rsidRPr="00535FAB">
        <w:rPr>
          <w:rFonts w:ascii="Times New Roman" w:eastAsia="Times New Roman" w:hAnsi="Times New Roman" w:cs="Times New Roman"/>
          <w:color w:val="000000"/>
        </w:rPr>
        <w:t xml:space="preserve">N° 467-2014-DE/SG se crea el Grupo de Trabajo de la Gestión del Riesgo de Desastres, el cual fue modificado con </w:t>
      </w:r>
      <w:r w:rsidR="000756FD">
        <w:rPr>
          <w:rFonts w:ascii="Times New Roman" w:eastAsia="Times New Roman" w:hAnsi="Times New Roman" w:cs="Times New Roman"/>
          <w:color w:val="000000"/>
        </w:rPr>
        <w:t>RM</w:t>
      </w:r>
      <w:r w:rsidRPr="00535FAB">
        <w:rPr>
          <w:rFonts w:ascii="Times New Roman" w:eastAsia="Times New Roman" w:hAnsi="Times New Roman" w:cs="Times New Roman"/>
          <w:color w:val="000000"/>
        </w:rPr>
        <w:t xml:space="preserve"> N° 094-2020-DE/SG en el artículo 2</w:t>
      </w:r>
      <w:r w:rsidR="008F49C8" w:rsidRPr="00535FAB">
        <w:rPr>
          <w:rFonts w:ascii="Times New Roman" w:eastAsia="Times New Roman" w:hAnsi="Times New Roman" w:cs="Times New Roman"/>
          <w:color w:val="000000"/>
          <w:lang w:val="es-ES_tradnl"/>
        </w:rPr>
        <w:t xml:space="preserve"> quienes se encargarán de la formulación de normas, planes, evaluación y organización de los procesos de la GRD en el Sector. Posteriormente</w:t>
      </w:r>
      <w:r w:rsidR="00B253FC" w:rsidRPr="00535FAB">
        <w:rPr>
          <w:rFonts w:ascii="Times New Roman" w:eastAsia="Times New Roman" w:hAnsi="Times New Roman" w:cs="Times New Roman"/>
          <w:color w:val="000000"/>
          <w:lang w:val="es-ES_tradnl"/>
        </w:rPr>
        <w:t>,</w:t>
      </w:r>
      <w:r w:rsidRPr="00535FAB">
        <w:rPr>
          <w:rFonts w:ascii="Times New Roman" w:eastAsia="Times New Roman" w:hAnsi="Times New Roman" w:cs="Times New Roman"/>
          <w:color w:val="000000"/>
        </w:rPr>
        <w:t xml:space="preserve"> con </w:t>
      </w:r>
      <w:r w:rsidR="000756FD">
        <w:rPr>
          <w:rFonts w:ascii="Times New Roman" w:eastAsia="Times New Roman" w:hAnsi="Times New Roman" w:cs="Times New Roman"/>
          <w:color w:val="000000"/>
        </w:rPr>
        <w:t>RM</w:t>
      </w:r>
      <w:r w:rsidRPr="00535FAB">
        <w:rPr>
          <w:rFonts w:ascii="Times New Roman" w:eastAsia="Times New Roman" w:hAnsi="Times New Roman" w:cs="Times New Roman"/>
          <w:color w:val="000000"/>
        </w:rPr>
        <w:t xml:space="preserve"> N° 095-2020-DE/SG se compone el Equipo Técnico del Grupo de Trabajo de Gestión del Riesgo de Desastre</w:t>
      </w:r>
      <w:r w:rsidR="008F49C8" w:rsidRPr="00535FAB">
        <w:rPr>
          <w:rFonts w:ascii="Times New Roman" w:eastAsia="Times New Roman" w:hAnsi="Times New Roman" w:cs="Times New Roman"/>
          <w:color w:val="000000"/>
        </w:rPr>
        <w:t xml:space="preserve"> </w:t>
      </w:r>
      <w:r w:rsidR="008F49C8" w:rsidRPr="00535FAB">
        <w:rPr>
          <w:rFonts w:ascii="Times New Roman" w:eastAsia="Times New Roman" w:hAnsi="Times New Roman" w:cs="Times New Roman"/>
          <w:color w:val="000000"/>
          <w:lang w:val="es-ES_tradnl"/>
        </w:rPr>
        <w:t>quienes brindan el soporte técnico al GT-GRD.</w:t>
      </w:r>
    </w:p>
    <w:p w14:paraId="288B5B2F" w14:textId="366DB2A1" w:rsidR="007D1B85" w:rsidRDefault="007D1B85" w:rsidP="00AA0894">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bookmarkStart w:id="34" w:name="_Hlk117515350"/>
      <w:bookmarkEnd w:id="33"/>
      <w:r w:rsidRPr="007D1B85">
        <w:rPr>
          <w:rFonts w:ascii="Times New Roman" w:eastAsia="Times New Roman" w:hAnsi="Times New Roman" w:cs="Times New Roman"/>
          <w:color w:val="000000"/>
        </w:rPr>
        <w:t>Tanto la RM N°467-2014-DE/SG y la RM N° 095-2020-DE/SG se señala los representantes de las entidades que van a conformar estos grupos de coordinación que va considerar a la organización que se presenta el Sector: el Órgano Rector que recae en el Ministerio de Defensa-MINDEF, los Órganos Ejecutores  que  lo  conforman  el  Comando  Conjunto  de  las  Fuerzas  Armadas (CCFFAA) y las Instituciones Armadas (IIAA), los organismos públicos donde se encuentran el Instituto Nacional de Defensa Civil (INDECI) y el Centro Nacional de Estimación, Prevención y Reducción del Riesgo de Desastres (CENEPRED) que</w:t>
      </w:r>
      <w:r w:rsidRPr="007D1B85">
        <w:t xml:space="preserve"> </w:t>
      </w:r>
      <w:r w:rsidRPr="007D1B85">
        <w:rPr>
          <w:rFonts w:ascii="Times New Roman" w:eastAsia="Times New Roman" w:hAnsi="Times New Roman" w:cs="Times New Roman"/>
          <w:color w:val="000000"/>
        </w:rPr>
        <w:t xml:space="preserve">están  adscritos  </w:t>
      </w:r>
      <w:r w:rsidRPr="007D1B85">
        <w:rPr>
          <w:rFonts w:ascii="Times New Roman" w:eastAsia="Times New Roman" w:hAnsi="Times New Roman" w:cs="Times New Roman"/>
          <w:color w:val="000000"/>
        </w:rPr>
        <w:lastRenderedPageBreak/>
        <w:t>al  Sector,  el  Instituto  Geofísico  del  Perú  (IGN),  la  Comisión Nacional de Investigación y Desarrollo Aeroespacial (CONIDA), la Agencia de Compras y la Escuela Nacional de Marina Mercante (ENAMM) y, por último, las empresas del sector tales como la Fábrica de Municiones del Ejército (FAME), los Servicios Industriales de la Marina (SIMA) y el Servicio de Mantenimiento de la Fuerza Aérea del Perú (SEMAN) (DL, 1134, año 2012). Tanto la RM N°467-2014-DE/SG y la  RM N° 095-2020-DE/SG se señala los representantes de las entidades que van a conformar estos grupos de coordinación que va considerar a la organización que se presenta el Sector: el Órgano Rector que recae en el Ministerio de Defensa-MINDEF, los Órganos Ejecutores que lo conforman el Comando Conjunto de las Fuerzas Armadas (CCFFAA) y las Instituciones Armadas (IIAA), los organismos públicos donde se encuentran el Instituto Nacional de Defensa Civil (INDECI) y el Centro Nacional de Estimación, Prevención y Reducción del Riesgo de Desastres (CENEPRED) que están adscritos al Sector, el Instituto Geofísico del Perú (IGN), la Comisión Nacional de Investigación y Desarrollo Aeroespacial (CONIDA), la Agencia de Compras y la Escuela Nacional de Marina Mercante (ENAMM) y, por último, las empresas del sector tales como la Fábrica de Municiones del Ejército (FAME), los Servicios Industriales de la Marina (SIMA) y el Servicio de Mantenimiento de la Fuerza Aérea del Perú (SEMAN) (DL, 1134, año 2012).</w:t>
      </w:r>
    </w:p>
    <w:p w14:paraId="73614564" w14:textId="79242F5D" w:rsidR="007D1B85" w:rsidRPr="00535FAB" w:rsidRDefault="00585286" w:rsidP="00AA0894">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En el 2018 mediante la RM Nº 391-2018 DE/SG se conformó y activo el Centro de Operaciones de Emergencia del Sector Defensa y designan Coordinador del COE-MINDEF al Director de Movilización de la Dirección General de Política y Estrategia. A través del COES-MINDEF se viene monitoreando de forma constante las emergencias, peligros y desastres, además de la gestión e intercambio de informes para la toma de decisión.</w:t>
      </w:r>
    </w:p>
    <w:bookmarkEnd w:id="34"/>
    <w:p w14:paraId="0D0BDDA6" w14:textId="3156BE4C" w:rsidR="00585286" w:rsidRDefault="00585286" w:rsidP="001566BC">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A nivel de documentos normativos e instrumentos el mismo ha ido en aumento en los últimos años. Hasta el año 2019 en el Sector solo existían dos documentos que norma</w:t>
      </w:r>
      <w:r w:rsidR="00F5474B">
        <w:rPr>
          <w:rFonts w:ascii="Times New Roman" w:eastAsia="Times New Roman" w:hAnsi="Times New Roman" w:cs="Times New Roman"/>
          <w:color w:val="000000"/>
        </w:rPr>
        <w:t>ba</w:t>
      </w:r>
      <w:r w:rsidRPr="00585286">
        <w:rPr>
          <w:rFonts w:ascii="Times New Roman" w:eastAsia="Times New Roman" w:hAnsi="Times New Roman" w:cs="Times New Roman"/>
          <w:color w:val="000000"/>
        </w:rPr>
        <w:t xml:space="preserve">n la Gestión del Riesgo de Desastres, la DIRECTIVA N° 035-2015-CCFFAA/D-1/DGRD “Directiva para normar el Planeamiento Estratégico de las Fuerzas Armadas en los Procesos de Preparación y Respuesta de la Gestión del Riesgo de Desastres” y la DIRECTIVA N° 01-2017-MINDEF </w:t>
      </w:r>
      <w:r w:rsidRPr="00585286">
        <w:rPr>
          <w:rFonts w:ascii="Times New Roman" w:eastAsia="Times New Roman" w:hAnsi="Times New Roman" w:cs="Times New Roman"/>
          <w:color w:val="000000"/>
        </w:rPr>
        <w:lastRenderedPageBreak/>
        <w:t>“Normas Generales para regular la participación del Sector Defensa en la Gestión del Riesgo de Desastres”, como podemos apreciar el primer documento normativo es del Comando Conjunto de las Fuerzas Armadas (CCF</w:t>
      </w:r>
      <w:r w:rsidR="00F5474B">
        <w:rPr>
          <w:rFonts w:ascii="Times New Roman" w:eastAsia="Times New Roman" w:hAnsi="Times New Roman" w:cs="Times New Roman"/>
          <w:color w:val="000000"/>
        </w:rPr>
        <w:t>FA</w:t>
      </w:r>
      <w:r w:rsidRPr="00585286">
        <w:rPr>
          <w:rFonts w:ascii="Times New Roman" w:eastAsia="Times New Roman" w:hAnsi="Times New Roman" w:cs="Times New Roman"/>
          <w:color w:val="000000"/>
        </w:rPr>
        <w:t>A) y recién dos años después es el Sector quien recién emite un documento normativo.</w:t>
      </w:r>
    </w:p>
    <w:p w14:paraId="5AE41D3F" w14:textId="12226992" w:rsidR="00585286" w:rsidRPr="001566BC" w:rsidRDefault="00585286" w:rsidP="00585286">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En razón de ello, a partir del 2019 se inicia el trabajo de planeamiento de los documentos normativos de acuerdo a lo establecido en el Plan Nacional de Gestión del Riesgo de Desastres</w:t>
      </w:r>
      <w:r w:rsidR="00F5474B">
        <w:rPr>
          <w:rFonts w:ascii="Times New Roman" w:eastAsia="Times New Roman" w:hAnsi="Times New Roman" w:cs="Times New Roman"/>
          <w:color w:val="000000"/>
        </w:rPr>
        <w:t>,</w:t>
      </w:r>
      <w:r w:rsidRPr="00585286">
        <w:rPr>
          <w:rFonts w:ascii="Times New Roman" w:eastAsia="Times New Roman" w:hAnsi="Times New Roman" w:cs="Times New Roman"/>
          <w:color w:val="000000"/>
        </w:rPr>
        <w:t xml:space="preserve"> logrando la aprobación de algunos de ellos a partir del 2020, entre los que tenemos la RM N° 0569-2020-DE/SG que se encuentran adscrita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la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Directiva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General</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N°</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0021-2020-MINDEF/SG/VPD/DIGEPE/DIRMOV de fecha 07 de octubre, la misma que autoriza al Sector Defensa para participar en la GRD que reemplaza DIRECTIVA N° 01-2017-MINDEF, en la cual se dan las normas y procedimientos para la participación del Sector Defensa en la Gestión del Riesgo de Desastres, lo cual ha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provocado que la DIRECTIVA N° 035-2015-CCFFAA/D-1/DGRD sea actualizada y        alineada        con        la        Directiva        General        N°        0021-2020-MINDEF/SG/VPD/DIGEPE/DIRMOV del Sector; con RM N° 0528-2020-DE/SG</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t>el Plan de Contingencia del Sector Defensa ante Sismo de Gran Magnitud, seguido por Tsunami en la Costa Central del Perú y con RM N° 0527-2020-DE/SG el Plan de Contingencia del Sector Defensa ante Lluvias Intensas del Sector; con RM 0529- 2020-DE/SG de fecha 23 septiembre se actualiza el Plan Nacional de Búsqueda y Salvamento (Plan SAR) y con Resolución Ministerial N° 396-2021-DE/ SG se aprueba el Plan de Preparación del Sector Defensa.</w:t>
      </w:r>
    </w:p>
    <w:p w14:paraId="223EF555" w14:textId="13267AA8" w:rsidR="00AA0894" w:rsidRDefault="00585286" w:rsidP="005750BD">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Cabe resaltar que los documentos normativos aprobados por el Sector Defensa han sido formulados en base al reglamento de la Ley </w:t>
      </w:r>
      <w:r w:rsidR="00F5474B">
        <w:rPr>
          <w:rFonts w:ascii="Times New Roman" w:eastAsia="Times New Roman" w:hAnsi="Times New Roman" w:cs="Times New Roman"/>
          <w:color w:val="000000"/>
        </w:rPr>
        <w:t>N°</w:t>
      </w:r>
      <w:r w:rsidRPr="00585286">
        <w:rPr>
          <w:rFonts w:ascii="Times New Roman" w:eastAsia="Times New Roman" w:hAnsi="Times New Roman" w:cs="Times New Roman"/>
          <w:color w:val="000000"/>
        </w:rPr>
        <w:t>29664 en su artículo 39 y al Plan Nacional de Gestión del Riesgo de Desastres del 2014-2021.</w:t>
      </w:r>
    </w:p>
    <w:p w14:paraId="725B371A" w14:textId="4A0039ED" w:rsidR="00585286" w:rsidRDefault="00585286">
      <w:pPr>
        <w:pBdr>
          <w:top w:val="nil"/>
          <w:left w:val="nil"/>
          <w:bottom w:val="nil"/>
          <w:right w:val="nil"/>
          <w:between w:val="nil"/>
        </w:pBdr>
        <w:tabs>
          <w:tab w:val="left" w:pos="8222"/>
        </w:tabs>
        <w:spacing w:after="200"/>
        <w:ind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A pesar de que la Ley N° 29664 está vigente desde el año 2011, los lineamientos normativos en el Sector han estado ausentes, lo cual origina que las competencias del Sector en la GRD no se encuentren bien identificadas, se tiene la idea en la mayoría de nuestro personal en todos los niveles que nuestra participación solo se da en los procesos de preparación y respuesta, tal cual lo dice la Ley N ° 29664 en su Artículo 17º.- “Participación de las FFAA y la PNP, inciso que tipifica </w:t>
      </w:r>
      <w:r w:rsidRPr="00585286">
        <w:rPr>
          <w:rFonts w:ascii="Times New Roman" w:eastAsia="Times New Roman" w:hAnsi="Times New Roman" w:cs="Times New Roman"/>
          <w:color w:val="000000"/>
        </w:rPr>
        <w:lastRenderedPageBreak/>
        <w:t>el involucramiento de las fuerzas en las tareas de GRD, en sus procesos de preparación y respuesta ante emergencias, cumpliendo con los deberes y competencias que poseen, conjuntamente con el soporte a las autoridades, según las normas del Sistema Nacional de Gestión del Riesgo de Desastres”. Asimismo, las FFAA y la PNP llegan a participar de oficio en la atención de situaciones de emergencia que impliquen la necesidad de respuestas inmediatas, desarrollando acciones que les competen a pesar de no haberse promulgado el estado de emergencia (Ley N°29664, 2012). Sin embargo, es importante resaltar que como sector nuestra responsabilidad es más amplia y transversal con los tres niveles de gobierno, participando todos los órganos del Sector, desde el órgano rector de donde se parte con la formulación de los lineamientos normativos por la Dirección General de Política y Estrategia a través del Equipo Técnico, la autorización presupuestal de la Dirección General de Planeamiento y Presupuesto hasta la</w:t>
      </w:r>
      <w:r w:rsidRPr="00585286">
        <w:t xml:space="preserve"> </w:t>
      </w:r>
      <w:r w:rsidRPr="00585286">
        <w:rPr>
          <w:rFonts w:ascii="Times New Roman" w:eastAsia="Times New Roman" w:hAnsi="Times New Roman" w:cs="Times New Roman"/>
          <w:color w:val="000000"/>
        </w:rPr>
        <w:t>aprobación por parte del Grupo de Trabajo de la Gestión del Riesgo de Desastres, presidido por el titular de la entidad, con los órganos ejecutores brindar apoyo a la población afectada o damnificada como parte del componente reactivo y con todas las entidades del Sector realizar la planificación en los componentes prospectivos y correctivo para ver como actuamos al interior del Sector en caso de ser afectados por los fenómenos naturales o por fenómenos debido a la acción humana.</w:t>
      </w:r>
    </w:p>
    <w:p w14:paraId="663E5F96" w14:textId="1457AC76" w:rsidR="00657D48" w:rsidRDefault="00585286" w:rsidP="00585286">
      <w:pPr>
        <w:pBdr>
          <w:top w:val="nil"/>
          <w:left w:val="nil"/>
          <w:bottom w:val="nil"/>
          <w:right w:val="nil"/>
          <w:between w:val="nil"/>
        </w:pBdr>
        <w:tabs>
          <w:tab w:val="left" w:pos="8222"/>
        </w:tabs>
        <w:spacing w:after="160"/>
        <w:ind w:firstLine="567"/>
        <w:jc w:val="both"/>
        <w:rPr>
          <w:rFonts w:ascii="Times New Roman" w:eastAsia="Times New Roman" w:hAnsi="Times New Roman" w:cs="Times New Roman"/>
          <w:color w:val="000000"/>
        </w:rPr>
      </w:pPr>
      <w:bookmarkStart w:id="35" w:name="_3x8tuzt" w:colFirst="0" w:colLast="0"/>
      <w:bookmarkEnd w:id="35"/>
      <w:r w:rsidRPr="00585286">
        <w:rPr>
          <w:rFonts w:ascii="Times New Roman" w:eastAsia="Times New Roman" w:hAnsi="Times New Roman" w:cs="Times New Roman"/>
          <w:color w:val="000000"/>
        </w:rPr>
        <w:t xml:space="preserve">Si bien es cierto que el Sistema Nacional de Gestión del Riesgo de Desastres cuenta con tres componentes (prospectivo, correctivo y reactivo) y siete procesos (estimación del riesgo, prevención del riesgo, reducción del riesgo, preparación, respuesta, rehabilitación, y reconstrucción), el objetivo de la investigación es determinar si la Gestión del Riesgo de Desastres </w:t>
      </w:r>
      <w:r w:rsidR="00791BEA">
        <w:rPr>
          <w:rFonts w:ascii="Times New Roman" w:eastAsia="Times New Roman" w:hAnsi="Times New Roman" w:cs="Times New Roman"/>
          <w:color w:val="000000"/>
        </w:rPr>
        <w:t xml:space="preserve">en los procesos de reducción del riesgo, preparación y respuesta </w:t>
      </w:r>
      <w:r w:rsidRPr="00585286">
        <w:rPr>
          <w:rFonts w:ascii="Times New Roman" w:eastAsia="Times New Roman" w:hAnsi="Times New Roman" w:cs="Times New Roman"/>
          <w:color w:val="000000"/>
        </w:rPr>
        <w:t>se relaciona</w:t>
      </w:r>
      <w:r w:rsidR="00791BEA">
        <w:rPr>
          <w:rFonts w:ascii="Times New Roman" w:eastAsia="Times New Roman" w:hAnsi="Times New Roman" w:cs="Times New Roman"/>
          <w:color w:val="000000"/>
        </w:rPr>
        <w:t>n</w:t>
      </w:r>
      <w:r w:rsidRPr="00585286">
        <w:rPr>
          <w:rFonts w:ascii="Times New Roman" w:eastAsia="Times New Roman" w:hAnsi="Times New Roman" w:cs="Times New Roman"/>
          <w:color w:val="000000"/>
        </w:rPr>
        <w:t xml:space="preserve"> con las competencias en el Sector Defensa en el año 2021, por lo cual, se debe fortalecer a través de una adecuada socialización</w:t>
      </w:r>
      <w:r w:rsidR="00791BEA">
        <w:rPr>
          <w:rFonts w:ascii="Times New Roman" w:eastAsia="Times New Roman" w:hAnsi="Times New Roman" w:cs="Times New Roman"/>
          <w:color w:val="000000"/>
        </w:rPr>
        <w:t>, sensibilización</w:t>
      </w:r>
      <w:r w:rsidRPr="00585286">
        <w:rPr>
          <w:rFonts w:ascii="Times New Roman" w:eastAsia="Times New Roman" w:hAnsi="Times New Roman" w:cs="Times New Roman"/>
          <w:color w:val="000000"/>
        </w:rPr>
        <w:t xml:space="preserve"> e implementación de los lineamientos normativos, para incrementar el conocimiento en Gestión del Riesgo de Desastres por parte del personal militar, civil y familia militar que conformamos el sector, fomentando la cultura de prevención lo cual permitirá a la población que forma parte del Sector Defensa ser más resiliente y tener más capacidades para poder actuar en beneficio </w:t>
      </w:r>
      <w:r w:rsidRPr="00585286">
        <w:rPr>
          <w:rFonts w:ascii="Times New Roman" w:eastAsia="Times New Roman" w:hAnsi="Times New Roman" w:cs="Times New Roman"/>
          <w:color w:val="000000"/>
        </w:rPr>
        <w:lastRenderedPageBreak/>
        <w:t>de la población afectada o damnificada ante emergencias, desastres o peligro inminente.</w:t>
      </w:r>
    </w:p>
    <w:p w14:paraId="01E5EF76" w14:textId="16C86574" w:rsidR="00657D48" w:rsidRPr="007A2787" w:rsidRDefault="007A2787" w:rsidP="00585286">
      <w:pPr>
        <w:pStyle w:val="Ttulo1"/>
        <w:spacing w:after="160"/>
        <w:jc w:val="left"/>
      </w:pPr>
      <w:bookmarkStart w:id="36" w:name="_2ce457m" w:colFirst="0" w:colLast="0"/>
      <w:bookmarkStart w:id="37" w:name="_Toc117518890"/>
      <w:bookmarkEnd w:id="36"/>
      <w:r w:rsidRPr="007A2787">
        <w:rPr>
          <w:color w:val="000000"/>
        </w:rPr>
        <w:t>1.</w:t>
      </w:r>
      <w:r>
        <w:rPr>
          <w:color w:val="000000"/>
        </w:rPr>
        <w:t>2</w:t>
      </w:r>
      <w:r w:rsidRPr="007A2787">
        <w:rPr>
          <w:color w:val="000000"/>
        </w:rPr>
        <w:t xml:space="preserve"> </w:t>
      </w:r>
      <w:r w:rsidR="003F3EEB" w:rsidRPr="007A2787">
        <w:rPr>
          <w:color w:val="000000"/>
        </w:rPr>
        <w:t>Delimitación del problema</w:t>
      </w:r>
      <w:bookmarkEnd w:id="37"/>
    </w:p>
    <w:p w14:paraId="6D203FE8" w14:textId="03E40619" w:rsidR="00657D48" w:rsidRPr="007A2787" w:rsidRDefault="007A2787" w:rsidP="00585286">
      <w:pPr>
        <w:pStyle w:val="Ttulo1"/>
        <w:spacing w:after="160"/>
        <w:ind w:left="426"/>
        <w:jc w:val="left"/>
      </w:pPr>
      <w:bookmarkStart w:id="38" w:name="_rjefff" w:colFirst="0" w:colLast="0"/>
      <w:bookmarkStart w:id="39" w:name="_Toc117518891"/>
      <w:bookmarkEnd w:id="38"/>
      <w:r w:rsidRPr="007A2787">
        <w:rPr>
          <w:color w:val="000000"/>
        </w:rPr>
        <w:t xml:space="preserve">1.2.1 </w:t>
      </w:r>
      <w:r w:rsidR="003F3EEB" w:rsidRPr="007A2787">
        <w:t>Delimitación temática</w:t>
      </w:r>
      <w:bookmarkEnd w:id="39"/>
    </w:p>
    <w:p w14:paraId="09409069" w14:textId="13717C16" w:rsidR="00657D48" w:rsidRDefault="00585286" w:rsidP="00585286">
      <w:pPr>
        <w:spacing w:after="160"/>
        <w:ind w:left="425" w:firstLine="567"/>
        <w:jc w:val="both"/>
        <w:rPr>
          <w:rFonts w:ascii="Times New Roman" w:eastAsia="Times New Roman" w:hAnsi="Times New Roman" w:cs="Times New Roman"/>
        </w:rPr>
      </w:pPr>
      <w:bookmarkStart w:id="40" w:name="_3bj1y38" w:colFirst="0" w:colLast="0"/>
      <w:bookmarkEnd w:id="40"/>
      <w:r w:rsidRPr="00585286">
        <w:rPr>
          <w:rFonts w:ascii="Times New Roman" w:eastAsia="Times New Roman" w:hAnsi="Times New Roman" w:cs="Times New Roman"/>
        </w:rPr>
        <w:t>La investigación se concretó en base a la temática de la Gestión del Riesgo de Desastres en tres de los procesos: de Reducción del Riesgo, Preparación y Respuesta que la componen y su relación con las competencias en el Sector Defensa año 2021.</w:t>
      </w:r>
    </w:p>
    <w:p w14:paraId="0CF0D08F" w14:textId="77102775" w:rsidR="00657D48" w:rsidRPr="007A2787" w:rsidRDefault="003F3EEB" w:rsidP="00585286">
      <w:pPr>
        <w:pStyle w:val="Ttulo1"/>
        <w:spacing w:after="160"/>
        <w:ind w:left="426"/>
        <w:jc w:val="left"/>
      </w:pPr>
      <w:bookmarkStart w:id="41" w:name="_1qoc8b1" w:colFirst="0" w:colLast="0"/>
      <w:bookmarkStart w:id="42" w:name="_Toc117518892"/>
      <w:bookmarkEnd w:id="41"/>
      <w:r w:rsidRPr="007A2787">
        <w:t>1.2.2 Delimitación teórica</w:t>
      </w:r>
      <w:bookmarkEnd w:id="42"/>
    </w:p>
    <w:p w14:paraId="0D7DAB36" w14:textId="3165415D" w:rsidR="00657D48" w:rsidRDefault="00585286" w:rsidP="00585286">
      <w:pPr>
        <w:spacing w:after="160"/>
        <w:ind w:left="425" w:firstLine="567"/>
        <w:jc w:val="both"/>
        <w:rPr>
          <w:rFonts w:ascii="Times New Roman" w:eastAsia="Times New Roman" w:hAnsi="Times New Roman" w:cs="Times New Roman"/>
        </w:rPr>
      </w:pPr>
      <w:r w:rsidRPr="00585286">
        <w:rPr>
          <w:rFonts w:ascii="Times New Roman" w:eastAsia="Times New Roman" w:hAnsi="Times New Roman" w:cs="Times New Roman"/>
        </w:rPr>
        <w:t>La investigación realizó el abordaje teórico de la Gestión del Riesgo de Desastres en los procesos de Reducción del Riesgo, Preparación y Respuesta, y su competencia en el Sector Defensa año 2021, incluyendo la explicación</w:t>
      </w:r>
    </w:p>
    <w:p w14:paraId="291DDF01" w14:textId="33166BB0" w:rsidR="00657D48" w:rsidRPr="007A2787" w:rsidRDefault="007A2787" w:rsidP="00585286">
      <w:pPr>
        <w:pStyle w:val="Ttulo1"/>
        <w:spacing w:after="160"/>
        <w:ind w:left="426"/>
        <w:jc w:val="left"/>
      </w:pPr>
      <w:bookmarkStart w:id="43" w:name="_Toc117518893"/>
      <w:r w:rsidRPr="007A2787">
        <w:rPr>
          <w:color w:val="000000"/>
        </w:rPr>
        <w:t>1.</w:t>
      </w:r>
      <w:bookmarkStart w:id="44" w:name="_4anzqyu" w:colFirst="0" w:colLast="0"/>
      <w:bookmarkEnd w:id="44"/>
      <w:r w:rsidR="003F3EEB" w:rsidRPr="007A2787">
        <w:t>2.3 Delimitación espacial</w:t>
      </w:r>
      <w:bookmarkEnd w:id="43"/>
    </w:p>
    <w:p w14:paraId="7A00FF87" w14:textId="14A37260" w:rsidR="00657D48" w:rsidRDefault="00585286" w:rsidP="00585286">
      <w:pPr>
        <w:spacing w:after="160"/>
        <w:ind w:left="425" w:firstLine="567"/>
        <w:jc w:val="both"/>
        <w:rPr>
          <w:rFonts w:ascii="Times New Roman" w:eastAsia="Times New Roman" w:hAnsi="Times New Roman" w:cs="Times New Roman"/>
        </w:rPr>
      </w:pPr>
      <w:r w:rsidRPr="00585286">
        <w:rPr>
          <w:rFonts w:ascii="Times New Roman" w:eastAsia="Times New Roman" w:hAnsi="Times New Roman" w:cs="Times New Roman"/>
        </w:rPr>
        <w:t>El estudio científico se desarrolló en el ámbito del territorio peruano, donde se ubican las dependencias que cumplen funciones de Gestión del riesgo de desastres en el sector defensa.</w:t>
      </w:r>
    </w:p>
    <w:p w14:paraId="2C4F3023" w14:textId="1350E929" w:rsidR="00657D48" w:rsidRPr="007A2787" w:rsidRDefault="003F3EEB" w:rsidP="00585286">
      <w:pPr>
        <w:pStyle w:val="Ttulo1"/>
        <w:spacing w:after="160"/>
        <w:ind w:left="426"/>
        <w:jc w:val="left"/>
      </w:pPr>
      <w:bookmarkStart w:id="45" w:name="_2pta16n" w:colFirst="0" w:colLast="0"/>
      <w:bookmarkStart w:id="46" w:name="_Toc117518894"/>
      <w:bookmarkEnd w:id="45"/>
      <w:r w:rsidRPr="007A2787">
        <w:t>1.2.4 Delimitación temporal</w:t>
      </w:r>
      <w:bookmarkEnd w:id="46"/>
    </w:p>
    <w:p w14:paraId="74F6718C" w14:textId="44F4E370" w:rsidR="00657D48" w:rsidRDefault="00585286" w:rsidP="00585286">
      <w:pPr>
        <w:spacing w:after="160"/>
        <w:ind w:left="426" w:firstLine="567"/>
        <w:jc w:val="both"/>
        <w:rPr>
          <w:rFonts w:ascii="Times New Roman" w:eastAsia="Times New Roman" w:hAnsi="Times New Roman" w:cs="Times New Roman"/>
        </w:rPr>
      </w:pPr>
      <w:r w:rsidRPr="00585286">
        <w:rPr>
          <w:rFonts w:ascii="Times New Roman" w:eastAsia="Times New Roman" w:hAnsi="Times New Roman" w:cs="Times New Roman"/>
        </w:rPr>
        <w:t xml:space="preserve">La investigación fue desarrollada entre los meses comprendidos de </w:t>
      </w:r>
      <w:r w:rsidR="005E5C2B">
        <w:rPr>
          <w:rFonts w:ascii="Times New Roman" w:eastAsia="Times New Roman" w:hAnsi="Times New Roman" w:cs="Times New Roman"/>
        </w:rPr>
        <w:t>febrero</w:t>
      </w:r>
      <w:r w:rsidRPr="00585286">
        <w:rPr>
          <w:rFonts w:ascii="Times New Roman" w:eastAsia="Times New Roman" w:hAnsi="Times New Roman" w:cs="Times New Roman"/>
        </w:rPr>
        <w:t xml:space="preserve"> a diciembre del 2021.</w:t>
      </w:r>
    </w:p>
    <w:p w14:paraId="2D6F08F6" w14:textId="75E88618" w:rsidR="00657D48" w:rsidRPr="007A2787" w:rsidRDefault="007A2787" w:rsidP="00585286">
      <w:pPr>
        <w:pStyle w:val="Ttulo1"/>
        <w:spacing w:after="160"/>
        <w:jc w:val="left"/>
      </w:pPr>
      <w:bookmarkStart w:id="47" w:name="_Toc117518895"/>
      <w:r>
        <w:rPr>
          <w:color w:val="000000"/>
        </w:rPr>
        <w:t xml:space="preserve">1.3 </w:t>
      </w:r>
      <w:r w:rsidR="003F3EEB" w:rsidRPr="007A2787">
        <w:rPr>
          <w:color w:val="000000"/>
        </w:rPr>
        <w:t>Formulación del problema</w:t>
      </w:r>
      <w:bookmarkEnd w:id="47"/>
    </w:p>
    <w:p w14:paraId="17B79E03" w14:textId="29AF206B" w:rsidR="00657D48" w:rsidRPr="007A2787" w:rsidRDefault="003F3EEB" w:rsidP="00585286">
      <w:pPr>
        <w:pStyle w:val="Ttulo1"/>
        <w:spacing w:after="160"/>
        <w:ind w:left="426"/>
        <w:jc w:val="left"/>
      </w:pPr>
      <w:bookmarkStart w:id="48" w:name="_3oy7u29" w:colFirst="0" w:colLast="0"/>
      <w:bookmarkStart w:id="49" w:name="_Toc117518896"/>
      <w:bookmarkEnd w:id="48"/>
      <w:r w:rsidRPr="007A2787">
        <w:t>1.3.1 Problema general</w:t>
      </w:r>
      <w:bookmarkEnd w:id="49"/>
    </w:p>
    <w:p w14:paraId="7A3587FE" w14:textId="28B01E70" w:rsidR="00657D48" w:rsidRDefault="00585286" w:rsidP="00585286">
      <w:pPr>
        <w:pBdr>
          <w:top w:val="nil"/>
          <w:left w:val="nil"/>
          <w:bottom w:val="nil"/>
          <w:right w:val="nil"/>
          <w:between w:val="nil"/>
        </w:pBdr>
        <w:tabs>
          <w:tab w:val="left" w:pos="8222"/>
        </w:tabs>
        <w:spacing w:after="16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¿De qué manera la gestión del riesgo de desastres en los procesos de reducción del riesgo, preparación y respuesta se relaciona con las competencias en el Sector Defensa año 2021?</w:t>
      </w:r>
    </w:p>
    <w:p w14:paraId="72AF103C" w14:textId="144267A7" w:rsidR="00657D48" w:rsidRPr="007A2787" w:rsidRDefault="003F3EEB" w:rsidP="00585286">
      <w:pPr>
        <w:pStyle w:val="Ttulo1"/>
        <w:spacing w:after="160"/>
        <w:ind w:left="426"/>
        <w:jc w:val="left"/>
      </w:pPr>
      <w:bookmarkStart w:id="50" w:name="_243i4a2" w:colFirst="0" w:colLast="0"/>
      <w:bookmarkStart w:id="51" w:name="_Toc117518897"/>
      <w:bookmarkEnd w:id="50"/>
      <w:r w:rsidRPr="007A2787">
        <w:t>1.3.2 Problemas específicos</w:t>
      </w:r>
      <w:bookmarkEnd w:id="51"/>
    </w:p>
    <w:p w14:paraId="7579AAB6" w14:textId="77777777" w:rsidR="00585286" w:rsidRDefault="003F3EEB" w:rsidP="00585286">
      <w:pPr>
        <w:pBdr>
          <w:top w:val="nil"/>
          <w:left w:val="nil"/>
          <w:bottom w:val="nil"/>
          <w:right w:val="nil"/>
          <w:between w:val="nil"/>
        </w:pBdr>
        <w:tabs>
          <w:tab w:val="left" w:pos="8222"/>
        </w:tabs>
        <w:spacing w:after="200"/>
        <w:ind w:left="425" w:firstLine="567"/>
        <w:jc w:val="both"/>
      </w:pPr>
      <w:r>
        <w:rPr>
          <w:rFonts w:ascii="Times New Roman" w:eastAsia="Times New Roman" w:hAnsi="Times New Roman" w:cs="Times New Roman"/>
          <w:b/>
          <w:color w:val="000000"/>
        </w:rPr>
        <w:t>PE1.</w:t>
      </w:r>
      <w:r>
        <w:rPr>
          <w:rFonts w:ascii="Times New Roman" w:eastAsia="Times New Roman" w:hAnsi="Times New Roman" w:cs="Times New Roman"/>
          <w:color w:val="000000"/>
        </w:rPr>
        <w:t xml:space="preserve"> ¿</w:t>
      </w:r>
      <w:r w:rsidR="00585286" w:rsidRPr="00585286">
        <w:rPr>
          <w:rFonts w:ascii="Times New Roman" w:eastAsia="Times New Roman" w:hAnsi="Times New Roman" w:cs="Times New Roman"/>
          <w:color w:val="000000"/>
        </w:rPr>
        <w:t>Cómo el proceso de reducción del riesgo se relaciona con las medidas de socialización en el Sector Defensa año 2021?</w:t>
      </w:r>
      <w:r w:rsidR="00585286" w:rsidRPr="00585286">
        <w:t xml:space="preserve"> </w:t>
      </w:r>
    </w:p>
    <w:p w14:paraId="6EE10E43" w14:textId="1099C079" w:rsidR="00585286" w:rsidRPr="00585286" w:rsidRDefault="00585286" w:rsidP="00585286">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b/>
          <w:color w:val="000000"/>
        </w:rPr>
        <w:lastRenderedPageBreak/>
        <w:t>PE2.</w:t>
      </w:r>
      <w:r w:rsidRPr="00585286">
        <w:rPr>
          <w:rFonts w:ascii="Times New Roman" w:eastAsia="Times New Roman" w:hAnsi="Times New Roman" w:cs="Times New Roman"/>
          <w:color w:val="000000"/>
        </w:rPr>
        <w:t xml:space="preserve"> ¿Cómo el proceso de preparación se relaciona con las medidas de sensibilización en el Sector Defensa año 2021?</w:t>
      </w:r>
    </w:p>
    <w:p w14:paraId="410EBC77" w14:textId="4AED1899" w:rsidR="00657D48" w:rsidRDefault="00585286" w:rsidP="00585286">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b/>
          <w:color w:val="000000"/>
        </w:rPr>
        <w:t>PE3.</w:t>
      </w:r>
      <w:r w:rsidRPr="00585286">
        <w:rPr>
          <w:rFonts w:ascii="Times New Roman" w:eastAsia="Times New Roman" w:hAnsi="Times New Roman" w:cs="Times New Roman"/>
          <w:color w:val="000000"/>
        </w:rPr>
        <w:t xml:space="preserve"> ¿Cómo el proceso de respuesta se relaciona con las medidas de implementación en el Sector Defensa año 2021?</w:t>
      </w:r>
    </w:p>
    <w:p w14:paraId="60EC5C0B" w14:textId="3DE27E13" w:rsidR="00657D48" w:rsidRPr="007A2787" w:rsidRDefault="003F3EEB" w:rsidP="007A2787">
      <w:pPr>
        <w:pStyle w:val="Ttulo1"/>
        <w:numPr>
          <w:ilvl w:val="1"/>
          <w:numId w:val="44"/>
        </w:numPr>
        <w:jc w:val="left"/>
      </w:pPr>
      <w:bookmarkStart w:id="52" w:name="_j8sehv" w:colFirst="0" w:colLast="0"/>
      <w:bookmarkStart w:id="53" w:name="_Toc117518898"/>
      <w:bookmarkEnd w:id="52"/>
      <w:r w:rsidRPr="007A2787">
        <w:rPr>
          <w:color w:val="000000"/>
        </w:rPr>
        <w:t>Objetivos de la investigación</w:t>
      </w:r>
      <w:bookmarkEnd w:id="53"/>
    </w:p>
    <w:p w14:paraId="6693F08E" w14:textId="5A3ED40C" w:rsidR="00657D48" w:rsidRPr="007A2787" w:rsidRDefault="003F3EEB" w:rsidP="007A2787">
      <w:pPr>
        <w:pStyle w:val="Ttulo1"/>
        <w:ind w:left="426"/>
        <w:jc w:val="left"/>
      </w:pPr>
      <w:bookmarkStart w:id="54" w:name="_338fx5o" w:colFirst="0" w:colLast="0"/>
      <w:bookmarkStart w:id="55" w:name="_Toc117518899"/>
      <w:bookmarkEnd w:id="54"/>
      <w:r w:rsidRPr="007A2787">
        <w:t>1.4.1 Objetivo general</w:t>
      </w:r>
      <w:bookmarkEnd w:id="55"/>
    </w:p>
    <w:p w14:paraId="54805A44" w14:textId="5E752B49" w:rsidR="00657D48" w:rsidRDefault="00585286">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Determinar si la gestión del riesgo de desastres en los procesos de reducción del riesgo, preparación y respuesta se relaciona con las competencias en el Sector Defensa año 2021.</w:t>
      </w:r>
    </w:p>
    <w:p w14:paraId="5B13C502" w14:textId="17AE9C65" w:rsidR="00657D48" w:rsidRPr="007A2787" w:rsidRDefault="003F3EEB" w:rsidP="007A2787">
      <w:pPr>
        <w:pStyle w:val="Ttulo1"/>
        <w:ind w:left="426"/>
        <w:jc w:val="left"/>
      </w:pPr>
      <w:bookmarkStart w:id="56" w:name="_1idq7dh" w:colFirst="0" w:colLast="0"/>
      <w:bookmarkStart w:id="57" w:name="_Toc117518900"/>
      <w:bookmarkEnd w:id="56"/>
      <w:r w:rsidRPr="007A2787">
        <w:t>1.4.2 Objetivos específicos</w:t>
      </w:r>
      <w:bookmarkEnd w:id="57"/>
    </w:p>
    <w:p w14:paraId="2079C38E" w14:textId="4D4D501B" w:rsidR="00657D48" w:rsidRDefault="003F3EEB">
      <w:pPr>
        <w:tabs>
          <w:tab w:val="left" w:pos="8222"/>
        </w:tabs>
        <w:spacing w:after="200"/>
        <w:ind w:left="425" w:firstLine="567"/>
        <w:jc w:val="both"/>
        <w:rPr>
          <w:rFonts w:ascii="Times New Roman" w:eastAsia="Times New Roman" w:hAnsi="Times New Roman" w:cs="Times New Roman"/>
        </w:rPr>
      </w:pPr>
      <w:r>
        <w:rPr>
          <w:rFonts w:ascii="Times New Roman" w:eastAsia="Times New Roman" w:hAnsi="Times New Roman" w:cs="Times New Roman"/>
          <w:b/>
        </w:rPr>
        <w:t xml:space="preserve">OE1. </w:t>
      </w:r>
      <w:r w:rsidR="00585286" w:rsidRPr="00585286">
        <w:rPr>
          <w:rFonts w:ascii="Times New Roman" w:eastAsia="Times New Roman" w:hAnsi="Times New Roman" w:cs="Times New Roman"/>
        </w:rPr>
        <w:t>Comprobar si el proceso de reducción del riesgo se relaciona con las medidas de socialización en el Sector Defensa año 2021.</w:t>
      </w:r>
    </w:p>
    <w:p w14:paraId="7A4FF2A7" w14:textId="368A65E7" w:rsidR="00657D48" w:rsidRDefault="003F3EEB">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OE2. </w:t>
      </w:r>
      <w:r w:rsidR="00585286" w:rsidRPr="00585286">
        <w:rPr>
          <w:rFonts w:ascii="Times New Roman" w:eastAsia="Times New Roman" w:hAnsi="Times New Roman" w:cs="Times New Roman"/>
          <w:color w:val="000000"/>
        </w:rPr>
        <w:t>Demostrar si el proceso de preparación se relaciona con las medidas de sensibilización en el Sector Defensa año 2021.</w:t>
      </w:r>
    </w:p>
    <w:p w14:paraId="681CE93A" w14:textId="15C437B4" w:rsidR="00657D48" w:rsidRDefault="003F3EEB">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OE3. </w:t>
      </w:r>
      <w:r w:rsidR="00585286" w:rsidRPr="00585286">
        <w:rPr>
          <w:rFonts w:ascii="Times New Roman" w:eastAsia="Times New Roman" w:hAnsi="Times New Roman" w:cs="Times New Roman"/>
          <w:color w:val="000000"/>
        </w:rPr>
        <w:t>Establecer si el proceso de respuesta se relaciona con las medidas de implementación en el Sector Defensa año 2021.</w:t>
      </w:r>
    </w:p>
    <w:p w14:paraId="382C39F3" w14:textId="119E340B" w:rsidR="00657D48" w:rsidRPr="007A2787" w:rsidRDefault="007A2787" w:rsidP="00014740">
      <w:pPr>
        <w:pStyle w:val="Ttulo1"/>
        <w:spacing w:after="140"/>
        <w:jc w:val="left"/>
      </w:pPr>
      <w:bookmarkStart w:id="58" w:name="_42ddq1a" w:colFirst="0" w:colLast="0"/>
      <w:bookmarkStart w:id="59" w:name="_Toc117518901"/>
      <w:bookmarkEnd w:id="58"/>
      <w:r>
        <w:rPr>
          <w:color w:val="000000"/>
        </w:rPr>
        <w:t xml:space="preserve">1.5 </w:t>
      </w:r>
      <w:r w:rsidR="003F3EEB" w:rsidRPr="007A2787">
        <w:rPr>
          <w:color w:val="000000"/>
        </w:rPr>
        <w:t>Justificación e importancia de la investigación</w:t>
      </w:r>
      <w:bookmarkEnd w:id="59"/>
    </w:p>
    <w:p w14:paraId="13B7FDFD" w14:textId="68FD8B7D" w:rsidR="00657D48" w:rsidRPr="00014740" w:rsidRDefault="003F3EEB" w:rsidP="00014740">
      <w:pPr>
        <w:pStyle w:val="Ttulo1"/>
        <w:spacing w:after="140"/>
        <w:ind w:left="426"/>
        <w:jc w:val="left"/>
      </w:pPr>
      <w:bookmarkStart w:id="60" w:name="_2hio093" w:colFirst="0" w:colLast="0"/>
      <w:bookmarkStart w:id="61" w:name="_Toc117518902"/>
      <w:bookmarkEnd w:id="60"/>
      <w:r w:rsidRPr="00014740">
        <w:t>1.5.1 Justificación</w:t>
      </w:r>
      <w:bookmarkEnd w:id="61"/>
    </w:p>
    <w:p w14:paraId="14979D2B" w14:textId="6A0CECE1" w:rsidR="00657D48" w:rsidRPr="00535FAB" w:rsidRDefault="00585286" w:rsidP="00014740">
      <w:pPr>
        <w:pBdr>
          <w:top w:val="nil"/>
          <w:left w:val="nil"/>
          <w:bottom w:val="nil"/>
          <w:right w:val="nil"/>
          <w:between w:val="nil"/>
        </w:pBdr>
        <w:tabs>
          <w:tab w:val="left" w:pos="8222"/>
        </w:tabs>
        <w:spacing w:after="140"/>
        <w:ind w:left="425"/>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La indagación se justificó debido que ofrece un análisis teórico sobre la relación que tiene el Sector Defensa en la gestión del riesgo de desastres en los procesos de reducción del riesgo, preparación y respuesta, esto nos permitirá estrechar las brechas, vacíos, dificultades, corregir las debilidades y aportar proactivamente a la gestión sectorial articulada con el Sistema Nacional de Gestión del Riesgo de Desastres.</w:t>
      </w:r>
    </w:p>
    <w:p w14:paraId="17752E53" w14:textId="5834BA9B" w:rsidR="00657D48" w:rsidRPr="00535FAB" w:rsidRDefault="00585286" w:rsidP="00014740">
      <w:pPr>
        <w:pBdr>
          <w:top w:val="nil"/>
          <w:left w:val="nil"/>
          <w:bottom w:val="nil"/>
          <w:right w:val="nil"/>
          <w:between w:val="nil"/>
        </w:pBdr>
        <w:tabs>
          <w:tab w:val="left" w:pos="8222"/>
        </w:tabs>
        <w:spacing w:after="14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Así mismo, también existe una justificación práctica, teniendo en cuenta que desde la aprobación de la Ley N° 29664, “Ley que crea el Sistema Nacional de Gestión de Riesgo de Desastres (SINAGERD)”, aún su integración en el </w:t>
      </w:r>
      <w:r w:rsidRPr="00585286">
        <w:rPr>
          <w:rFonts w:ascii="Times New Roman" w:eastAsia="Times New Roman" w:hAnsi="Times New Roman" w:cs="Times New Roman"/>
          <w:color w:val="000000"/>
        </w:rPr>
        <w:lastRenderedPageBreak/>
        <w:t>Sector Defensa es ausente, es más aun no cuenta con toda la normatividad obligatoria terminada, lo cual origina que las competencias del Sector en la gestión del riesgo de desastres no se encuentren bien identificadas y definidas, esto se evidencia en el desconocimiento dentro del Sector en todos los niveles, vale decir desde la Alta Dirección, órganos de línea, hasta los órganos ejecutores. Ante ello, la investigación a través de las recomendaciones ofrecerá mecanismos para atender la problemática y fortalecer la Gestión del Riesgo de Desastres, buscando generar mayor conciencia en las autoridades.</w:t>
      </w:r>
    </w:p>
    <w:p w14:paraId="057EE65F" w14:textId="1D7E1C86" w:rsidR="00657D48" w:rsidRPr="00014740" w:rsidRDefault="003F3EEB" w:rsidP="00014740">
      <w:pPr>
        <w:pStyle w:val="Ttulo1"/>
        <w:spacing w:after="140"/>
        <w:ind w:left="426"/>
        <w:jc w:val="left"/>
      </w:pPr>
      <w:bookmarkStart w:id="62" w:name="_wnyagw" w:colFirst="0" w:colLast="0"/>
      <w:bookmarkStart w:id="63" w:name="_Toc117518903"/>
      <w:bookmarkEnd w:id="62"/>
      <w:r w:rsidRPr="00014740">
        <w:t>1.5.2 Importancia</w:t>
      </w:r>
      <w:bookmarkEnd w:id="63"/>
      <w:r w:rsidRPr="00014740">
        <w:t xml:space="preserve">  </w:t>
      </w:r>
    </w:p>
    <w:p w14:paraId="017C6020" w14:textId="01D5F330" w:rsidR="00585286" w:rsidRPr="00535FAB" w:rsidRDefault="00585286">
      <w:pPr>
        <w:pBdr>
          <w:top w:val="nil"/>
          <w:left w:val="nil"/>
          <w:bottom w:val="nil"/>
          <w:right w:val="nil"/>
          <w:between w:val="nil"/>
        </w:pBdr>
        <w:tabs>
          <w:tab w:val="left" w:pos="8222"/>
        </w:tabs>
        <w:spacing w:after="16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La investigación </w:t>
      </w:r>
      <w:r w:rsidR="004D41E5">
        <w:rPr>
          <w:rFonts w:ascii="Times New Roman" w:eastAsia="Times New Roman" w:hAnsi="Times New Roman" w:cs="Times New Roman"/>
          <w:color w:val="000000"/>
        </w:rPr>
        <w:t>es</w:t>
      </w:r>
      <w:r w:rsidRPr="00585286">
        <w:rPr>
          <w:rFonts w:ascii="Times New Roman" w:eastAsia="Times New Roman" w:hAnsi="Times New Roman" w:cs="Times New Roman"/>
          <w:color w:val="000000"/>
        </w:rPr>
        <w:t xml:space="preserve"> importante pues promueve el fortalecimiento de la Gestión del Riesgo de Desastres promulgada en el Decreto Legislativo N°1134-2012-MINDEF, el cual instaura que es competencia de todo el Sector impulsar y fortalecer la Gestión del Riesgo de Desastres en los procesos de Reducción del Riesgo, Preparación y Respuesta, lo cual es una política que aún es ausente; es por ello que resulta necesario concientizar a las autoridades de la necesidad de planificar medidas concretas para que resulten efectivas en la reducción de vulnerabilidades, tanto de las personas como de los patrimonios que forman parte del Sector Defensa.</w:t>
      </w:r>
    </w:p>
    <w:p w14:paraId="0BFA9AB3" w14:textId="70FD20D2" w:rsidR="00657D48" w:rsidRPr="00535FAB" w:rsidRDefault="00585286">
      <w:pPr>
        <w:pBdr>
          <w:top w:val="nil"/>
          <w:left w:val="nil"/>
          <w:bottom w:val="nil"/>
          <w:right w:val="nil"/>
          <w:between w:val="nil"/>
        </w:pBdr>
        <w:tabs>
          <w:tab w:val="left" w:pos="8222"/>
        </w:tabs>
        <w:spacing w:after="160"/>
        <w:ind w:left="425" w:firstLine="567"/>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Así mismo, la investigación también </w:t>
      </w:r>
      <w:r w:rsidR="004D41E5">
        <w:rPr>
          <w:rFonts w:ascii="Times New Roman" w:eastAsia="Times New Roman" w:hAnsi="Times New Roman" w:cs="Times New Roman"/>
          <w:color w:val="000000"/>
        </w:rPr>
        <w:t>es</w:t>
      </w:r>
      <w:r w:rsidRPr="00585286">
        <w:rPr>
          <w:rFonts w:ascii="Times New Roman" w:eastAsia="Times New Roman" w:hAnsi="Times New Roman" w:cs="Times New Roman"/>
          <w:color w:val="000000"/>
        </w:rPr>
        <w:t xml:space="preserve"> importante para la población que forma parte del Sector Defensa, considerando que el país está expuesto a la ocurrencia de diferentes fenómenos de origen natural e inducidos por la acción humana ; por ello, mediante las recomendaciones se espera que puedan ser partes en el rol de socialización</w:t>
      </w:r>
      <w:r w:rsidR="004D41E5">
        <w:rPr>
          <w:rFonts w:ascii="Times New Roman" w:eastAsia="Times New Roman" w:hAnsi="Times New Roman" w:cs="Times New Roman"/>
          <w:color w:val="000000"/>
        </w:rPr>
        <w:t>, sensibilización</w:t>
      </w:r>
      <w:r w:rsidRPr="00585286">
        <w:rPr>
          <w:rFonts w:ascii="Times New Roman" w:eastAsia="Times New Roman" w:hAnsi="Times New Roman" w:cs="Times New Roman"/>
          <w:color w:val="000000"/>
        </w:rPr>
        <w:t xml:space="preserve"> e implementación de los documentos normativos con que se cuenta; corregir las debilidades y aportar proactivamente a la gestión sectorial articulado con el Sistema Nacional de Gestión del Riesgo de Desastres.</w:t>
      </w:r>
    </w:p>
    <w:p w14:paraId="280D864B" w14:textId="4FF790BD" w:rsidR="00657D48" w:rsidRPr="00014740" w:rsidRDefault="003F3EEB" w:rsidP="007A2787">
      <w:pPr>
        <w:pStyle w:val="Ttulo1"/>
        <w:jc w:val="left"/>
      </w:pPr>
      <w:bookmarkStart w:id="64" w:name="_3gnlt4p" w:colFirst="0" w:colLast="0"/>
      <w:bookmarkStart w:id="65" w:name="_Toc117518904"/>
      <w:bookmarkEnd w:id="64"/>
      <w:r w:rsidRPr="00014740">
        <w:rPr>
          <w:color w:val="000000"/>
        </w:rPr>
        <w:t>1.6. Limitaciones de la investigación</w:t>
      </w:r>
      <w:bookmarkEnd w:id="65"/>
    </w:p>
    <w:p w14:paraId="29E5A6BE" w14:textId="6D41DC19" w:rsidR="00657D48" w:rsidRPr="00014740" w:rsidRDefault="003F3EEB" w:rsidP="007A2787">
      <w:pPr>
        <w:pStyle w:val="Ttulo1"/>
        <w:ind w:left="426"/>
        <w:jc w:val="left"/>
      </w:pPr>
      <w:bookmarkStart w:id="66" w:name="_Toc117518905"/>
      <w:r w:rsidRPr="00014740">
        <w:t>1.6.1 Limitación teórica</w:t>
      </w:r>
      <w:bookmarkEnd w:id="66"/>
    </w:p>
    <w:p w14:paraId="6A3A830A" w14:textId="39E0FDAB" w:rsidR="00657D48" w:rsidRDefault="00585286">
      <w:pPr>
        <w:tabs>
          <w:tab w:val="left" w:pos="8222"/>
        </w:tabs>
        <w:spacing w:after="200"/>
        <w:ind w:left="425" w:firstLine="567"/>
        <w:jc w:val="both"/>
        <w:rPr>
          <w:rFonts w:ascii="Times New Roman" w:eastAsia="Times New Roman" w:hAnsi="Times New Roman" w:cs="Times New Roman"/>
        </w:rPr>
      </w:pPr>
      <w:r w:rsidRPr="00585286">
        <w:rPr>
          <w:rFonts w:ascii="Times New Roman" w:eastAsia="Times New Roman" w:hAnsi="Times New Roman" w:cs="Times New Roman"/>
        </w:rPr>
        <w:t xml:space="preserve">Al punto de vista teórico, las limitaciones estuvieron materializadas en la escasa existencia de artículos, libros y estudios científicos que permitan </w:t>
      </w:r>
      <w:r w:rsidRPr="00585286">
        <w:rPr>
          <w:rFonts w:ascii="Times New Roman" w:eastAsia="Times New Roman" w:hAnsi="Times New Roman" w:cs="Times New Roman"/>
        </w:rPr>
        <w:lastRenderedPageBreak/>
        <w:t>entender o conocer de forma puntual el comportamiento de las variables; sin embargo, se pudo encontrar revistas, normas e informes desarrollados en el contexto internacional que permitieron sustentar de manera gnoseologí</w:t>
      </w:r>
      <w:r w:rsidR="004D41E5">
        <w:rPr>
          <w:rFonts w:ascii="Times New Roman" w:eastAsia="Times New Roman" w:hAnsi="Times New Roman" w:cs="Times New Roman"/>
        </w:rPr>
        <w:t>c</w:t>
      </w:r>
      <w:r w:rsidRPr="00585286">
        <w:rPr>
          <w:rFonts w:ascii="Times New Roman" w:eastAsia="Times New Roman" w:hAnsi="Times New Roman" w:cs="Times New Roman"/>
        </w:rPr>
        <w:t>a las variables de estudio.</w:t>
      </w:r>
    </w:p>
    <w:p w14:paraId="61C2036D" w14:textId="2BBAE31F" w:rsidR="00657D48" w:rsidRPr="0062649D" w:rsidRDefault="003F3EEB" w:rsidP="007A2787">
      <w:pPr>
        <w:pStyle w:val="Ttulo1"/>
        <w:ind w:left="426"/>
        <w:jc w:val="left"/>
      </w:pPr>
      <w:bookmarkStart w:id="67" w:name="_1vsw3ci" w:colFirst="0" w:colLast="0"/>
      <w:bookmarkStart w:id="68" w:name="_Toc117518906"/>
      <w:bookmarkEnd w:id="67"/>
      <w:r w:rsidRPr="0062649D">
        <w:t>1.6.2 Limitación geográfica</w:t>
      </w:r>
      <w:bookmarkEnd w:id="68"/>
    </w:p>
    <w:p w14:paraId="6B0A62E8" w14:textId="023096B7" w:rsidR="00657D48" w:rsidRDefault="00585286">
      <w:pPr>
        <w:tabs>
          <w:tab w:val="left" w:pos="8222"/>
        </w:tabs>
        <w:spacing w:after="200"/>
        <w:ind w:left="425" w:firstLine="567"/>
        <w:jc w:val="both"/>
        <w:rPr>
          <w:rFonts w:ascii="Times New Roman" w:eastAsia="Times New Roman" w:hAnsi="Times New Roman" w:cs="Times New Roman"/>
        </w:rPr>
      </w:pPr>
      <w:r w:rsidRPr="00585286">
        <w:rPr>
          <w:rFonts w:ascii="Times New Roman" w:eastAsia="Times New Roman" w:hAnsi="Times New Roman" w:cs="Times New Roman"/>
        </w:rPr>
        <w:t>No se presentó limitación de acceso a las fuentes de información y lugares donde se observe y analice el comportamiento del fenómeno en estudio.</w:t>
      </w:r>
    </w:p>
    <w:p w14:paraId="08815738" w14:textId="20DD7695" w:rsidR="00657D48" w:rsidRPr="0062649D" w:rsidRDefault="003F3EEB" w:rsidP="007A2787">
      <w:pPr>
        <w:pStyle w:val="Ttulo1"/>
        <w:ind w:left="426"/>
        <w:jc w:val="left"/>
      </w:pPr>
      <w:bookmarkStart w:id="69" w:name="_4fsjm0b" w:colFirst="0" w:colLast="0"/>
      <w:bookmarkStart w:id="70" w:name="_Toc117518907"/>
      <w:bookmarkEnd w:id="69"/>
      <w:r w:rsidRPr="0062649D">
        <w:t>1.6.3 Limitación logística</w:t>
      </w:r>
      <w:bookmarkEnd w:id="70"/>
    </w:p>
    <w:p w14:paraId="64FBB969" w14:textId="21CC39C1" w:rsidR="00657D48" w:rsidRDefault="00585286">
      <w:pPr>
        <w:tabs>
          <w:tab w:val="left" w:pos="8222"/>
        </w:tabs>
        <w:spacing w:after="200"/>
        <w:ind w:left="426" w:firstLine="567"/>
        <w:jc w:val="both"/>
        <w:rPr>
          <w:rFonts w:ascii="Times New Roman" w:eastAsia="Times New Roman" w:hAnsi="Times New Roman" w:cs="Times New Roman"/>
        </w:rPr>
      </w:pPr>
      <w:r w:rsidRPr="00585286">
        <w:rPr>
          <w:rFonts w:ascii="Times New Roman" w:eastAsia="Times New Roman" w:hAnsi="Times New Roman" w:cs="Times New Roman"/>
        </w:rPr>
        <w:t>En este campo, no se presentaron limitaciones, pues el investigador pudo autofinanciar todo lo que se necesitó para finalizar la investigación.</w:t>
      </w:r>
    </w:p>
    <w:p w14:paraId="2804E895" w14:textId="4A83EAFF" w:rsidR="00657D48" w:rsidRPr="0062649D" w:rsidRDefault="003F3EEB" w:rsidP="007A2787">
      <w:pPr>
        <w:pStyle w:val="Ttulo1"/>
        <w:ind w:left="426"/>
        <w:jc w:val="left"/>
      </w:pPr>
      <w:bookmarkStart w:id="71" w:name="_2uxtw84" w:colFirst="0" w:colLast="0"/>
      <w:bookmarkStart w:id="72" w:name="_Toc117518908"/>
      <w:bookmarkEnd w:id="71"/>
      <w:r w:rsidRPr="0062649D">
        <w:t>1.6.4 Limitación de información</w:t>
      </w:r>
      <w:bookmarkEnd w:id="72"/>
    </w:p>
    <w:p w14:paraId="5F5B6422" w14:textId="236CEDD9" w:rsidR="00657D48" w:rsidRDefault="00585286">
      <w:pPr>
        <w:spacing w:after="200"/>
        <w:ind w:left="425" w:firstLine="567"/>
        <w:jc w:val="both"/>
        <w:rPr>
          <w:rFonts w:ascii="Times New Roman" w:eastAsia="Times New Roman" w:hAnsi="Times New Roman" w:cs="Times New Roman"/>
        </w:rPr>
        <w:sectPr w:rsidR="00657D48">
          <w:pgSz w:w="11906" w:h="16838"/>
          <w:pgMar w:top="1701" w:right="1701" w:bottom="1701" w:left="2268" w:header="709" w:footer="709" w:gutter="0"/>
          <w:cols w:space="720"/>
          <w:titlePg/>
        </w:sectPr>
      </w:pPr>
      <w:r w:rsidRPr="00585286">
        <w:rPr>
          <w:rFonts w:ascii="Times New Roman" w:eastAsia="Times New Roman" w:hAnsi="Times New Roman" w:cs="Times New Roman"/>
        </w:rPr>
        <w:t>Los repositorios nacionales e internacionales, cuentan con una existencia limitada de investigaciones puntuales referidas a nuestra temática; así mismo, se presentarán ciertas restricciones para el acceso al material y datos clasificados en el Sector Defensa y que están referidos al fenómeno a investigar. Sin embargo, esa limitación no impidió el desarrollo de la investigación, pues se tuvo acceso a bibliotecas y otras fuentes de información.</w:t>
      </w:r>
    </w:p>
    <w:p w14:paraId="501D5B8B" w14:textId="70E1AE90" w:rsidR="00657D48" w:rsidRPr="007A2787" w:rsidRDefault="003F3EEB" w:rsidP="007A2787">
      <w:pPr>
        <w:pStyle w:val="Ttulo1"/>
        <w:ind w:left="426"/>
      </w:pPr>
      <w:bookmarkStart w:id="73" w:name="_Toc117518909"/>
      <w:r w:rsidRPr="007A2787">
        <w:rPr>
          <w:color w:val="000000"/>
        </w:rPr>
        <w:lastRenderedPageBreak/>
        <w:t>CAPÍTULO II.</w:t>
      </w:r>
      <w:bookmarkEnd w:id="73"/>
    </w:p>
    <w:p w14:paraId="114DD29E" w14:textId="0E0D7E03" w:rsidR="00657D48" w:rsidRPr="007A2787" w:rsidRDefault="003F3EEB" w:rsidP="007A2787">
      <w:pPr>
        <w:pStyle w:val="Ttulo1"/>
        <w:ind w:left="426"/>
      </w:pPr>
      <w:bookmarkStart w:id="74" w:name="_Toc117518910"/>
      <w:r w:rsidRPr="007A2787">
        <w:rPr>
          <w:color w:val="000000"/>
        </w:rPr>
        <w:t>Marco teórico</w:t>
      </w:r>
      <w:bookmarkEnd w:id="74"/>
    </w:p>
    <w:p w14:paraId="7195B92F" w14:textId="76F24961" w:rsidR="00657D48" w:rsidRPr="007A2787" w:rsidRDefault="003F3EEB" w:rsidP="007A2787">
      <w:pPr>
        <w:pStyle w:val="Ttulo1"/>
        <w:jc w:val="left"/>
      </w:pPr>
      <w:bookmarkStart w:id="75" w:name="_1a346fx" w:colFirst="0" w:colLast="0"/>
      <w:bookmarkStart w:id="76" w:name="_Toc117518911"/>
      <w:bookmarkEnd w:id="75"/>
      <w:r w:rsidRPr="007A2787">
        <w:t>2.1 Antecedentes de la investigación</w:t>
      </w:r>
      <w:bookmarkEnd w:id="76"/>
    </w:p>
    <w:p w14:paraId="17EE2C59" w14:textId="69B6A2FE" w:rsidR="00657D48" w:rsidRPr="007A2787" w:rsidRDefault="003F3EEB" w:rsidP="007A2787">
      <w:pPr>
        <w:pStyle w:val="Ttulo1"/>
        <w:ind w:left="426"/>
        <w:jc w:val="left"/>
      </w:pPr>
      <w:bookmarkStart w:id="77" w:name="_3u2rp3q" w:colFirst="0" w:colLast="0"/>
      <w:bookmarkStart w:id="78" w:name="_Toc117518912"/>
      <w:bookmarkEnd w:id="77"/>
      <w:r w:rsidRPr="007A2787">
        <w:t>2.1.1 Investigaciones internacionales</w:t>
      </w:r>
      <w:bookmarkEnd w:id="78"/>
    </w:p>
    <w:p w14:paraId="272817F1" w14:textId="1996CF71" w:rsidR="00657D48" w:rsidRDefault="00585286">
      <w:pPr>
        <w:pBdr>
          <w:top w:val="nil"/>
          <w:left w:val="nil"/>
          <w:bottom w:val="nil"/>
          <w:right w:val="nil"/>
          <w:between w:val="nil"/>
        </w:pBdr>
        <w:spacing w:after="200"/>
        <w:ind w:left="426"/>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Espinoza (2019), en Ecuador, sustentó un estudio sobre: “</w:t>
      </w:r>
      <w:r w:rsidRPr="00585286">
        <w:rPr>
          <w:rFonts w:ascii="Times New Roman" w:eastAsia="Times New Roman" w:hAnsi="Times New Roman" w:cs="Times New Roman"/>
          <w:i/>
          <w:color w:val="000000"/>
        </w:rPr>
        <w:t>La seguritización de la gestión de riesgos y el papel de las fuerzas armadas: algunas reflexiones conceptuales sobre la experiencia del ejército ecuatoriano</w:t>
      </w:r>
      <w:r w:rsidRPr="00585286">
        <w:rPr>
          <w:rFonts w:ascii="Times New Roman" w:eastAsia="Times New Roman" w:hAnsi="Times New Roman" w:cs="Times New Roman"/>
          <w:color w:val="000000"/>
        </w:rPr>
        <w:t>”, donde se plasmó como objetivo analizar la Gestión del Riesgo y la implicancia del Ejército. La metodología se fundamentó por seguir el enfoque mixto, no experimental y de tipo pura. Se contó con la participación de 168 miembros de las Fuerzas ecuatorianas, a quienes llegó a encuestar. En los resultados se detalla que el 38% de los oficiales superiores consultados indicó que si tiene conocimiento específico sobre la Gestión de Riesgo que se debe seguir en caso existiera un evento ocasionado por sucesos geológicos o incitados por obra humana; mientras que el 62% indicó que desconoce al respecto. Concluyó considerando que la participación de las fuerzas en las diligencias de Gestión de Riesgo, debe estar explícitamente tipificada en la constitución y que debe prepararse - mejorar sus capacidades de intervención en casos de emergencias y desastres.</w:t>
      </w:r>
    </w:p>
    <w:p w14:paraId="482B4893" w14:textId="7CE0BDB2" w:rsidR="00657D48" w:rsidRDefault="00585286">
      <w:pPr>
        <w:pBdr>
          <w:top w:val="nil"/>
          <w:left w:val="nil"/>
          <w:bottom w:val="nil"/>
          <w:right w:val="nil"/>
          <w:between w:val="nil"/>
        </w:pBdr>
        <w:spacing w:after="200"/>
        <w:ind w:left="426" w:firstLine="709"/>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En Chile, Cabezas (2020), realizó una investigación titulada: “</w:t>
      </w:r>
      <w:r w:rsidRPr="00585286">
        <w:rPr>
          <w:rFonts w:ascii="Times New Roman" w:eastAsia="Times New Roman" w:hAnsi="Times New Roman" w:cs="Times New Roman"/>
          <w:i/>
          <w:color w:val="000000"/>
        </w:rPr>
        <w:t>El rol de las fuerzas armadas en el ciclo de gestión del riesgo de desastres en Chile: Una relación en desarrollo</w:t>
      </w:r>
      <w:r w:rsidRPr="00585286">
        <w:rPr>
          <w:rFonts w:ascii="Times New Roman" w:eastAsia="Times New Roman" w:hAnsi="Times New Roman" w:cs="Times New Roman"/>
          <w:color w:val="000000"/>
        </w:rPr>
        <w:t>”. Se planteó el objetivo de realizar un análisis sobre el rol que tienen las Fuerzas Armadas en las actividades de la Gestión de Riesgo de Desastres. Se fundamentó en una metodología de tipo documental y de diseño transversal – no experimental, teniendo la participación de 12 funcionarios responsables de la dirección militar a quienes entrevistó para recoger información. En los resultados se resalta que los entrevistados concuerdan que el Sector Defensa cumple un rol activo en la Gestión de Riesgo de Desastres, su participación se encuentra tipificada en la constitución de ese país y, ante una catástrofe natural, las fuerzas son los que participan en la primera respuesta. Se llegó a la conclusión que, en el contexto de Chile, es</w:t>
      </w:r>
      <w:r w:rsidRPr="00585286">
        <w:t xml:space="preserve"> </w:t>
      </w:r>
      <w:r w:rsidRPr="00585286">
        <w:rPr>
          <w:rFonts w:ascii="Times New Roman" w:eastAsia="Times New Roman" w:hAnsi="Times New Roman" w:cs="Times New Roman"/>
          <w:color w:val="000000"/>
        </w:rPr>
        <w:lastRenderedPageBreak/>
        <w:t>importante que se establezcan políticas y protocolos que deben seguir tanto la sociedad civil, autoridades y fuerzas militares para enfrentar de una mejor manera los eventos extremos o de emergencias y desastres.</w:t>
      </w:r>
    </w:p>
    <w:p w14:paraId="0A6BD7E9" w14:textId="6F3BC53B" w:rsidR="00585286" w:rsidRPr="00585286" w:rsidRDefault="00585286" w:rsidP="00585286">
      <w:pPr>
        <w:pBdr>
          <w:top w:val="nil"/>
          <w:left w:val="nil"/>
          <w:bottom w:val="nil"/>
          <w:right w:val="nil"/>
          <w:between w:val="nil"/>
        </w:pBdr>
        <w:spacing w:after="200"/>
        <w:ind w:left="426" w:firstLine="709"/>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 xml:space="preserve">En Ecuador, Piedra (2020), desarrolló una indagación titulada: </w:t>
      </w:r>
      <w:r>
        <w:rPr>
          <w:rFonts w:ascii="Times New Roman" w:eastAsia="Times New Roman" w:hAnsi="Times New Roman" w:cs="Times New Roman"/>
          <w:color w:val="000000"/>
        </w:rPr>
        <w:t>“</w:t>
      </w:r>
      <w:r w:rsidRPr="00585286">
        <w:rPr>
          <w:rFonts w:ascii="Times New Roman" w:eastAsia="Times New Roman" w:hAnsi="Times New Roman" w:cs="Times New Roman"/>
          <w:i/>
          <w:color w:val="000000"/>
        </w:rPr>
        <w:t>Los roles de las Fuerzas Armadas del Ecuador frente a los desafíos del cambio climático</w:t>
      </w:r>
      <w:r>
        <w:rPr>
          <w:rFonts w:ascii="Times New Roman" w:eastAsia="Times New Roman" w:hAnsi="Times New Roman" w:cs="Times New Roman"/>
          <w:color w:val="000000"/>
        </w:rPr>
        <w:t>”.</w:t>
      </w:r>
      <w:r w:rsidRPr="00585286">
        <w:rPr>
          <w:rFonts w:ascii="Times New Roman" w:eastAsia="Times New Roman" w:hAnsi="Times New Roman" w:cs="Times New Roman"/>
          <w:color w:val="000000"/>
        </w:rPr>
        <w:t xml:space="preserve"> El objetivo que se propuso fue identificar el riesgo que representa el cambio climático y proponer políticas en donde las Fuerzas Armadas puedan tener un rol. El aspecto metodológico se desarrolló bajo el diseño no experimental – transversal y de tipo documental. Para el trabajo de recopilación de datos se empleó la encuesta realizada a una muestra de 60 militares de la Escuela de la Selva. Como resultado se precisa que el 93% de los militares encuestados consideraron que los cambios climáticos representan una amenaza para la seguridad y, además, el 86.2% consideró que sí se debe preparar profesional y operativamente al ejército para responder las amenazas que representan el cambio climático. Concluyó mencionando que el rol del Ejército de Ecuador frente al riesgo que representan los cambios climáticos va más allá de la respuesta, es necesario integrar la mitigación y adaptación de los efectos, salvaguardando la seguridad de la población y la naturaleza.</w:t>
      </w:r>
    </w:p>
    <w:p w14:paraId="440B4EFD" w14:textId="0A1F8882" w:rsidR="00585286" w:rsidRPr="00585286" w:rsidRDefault="00585286" w:rsidP="00585286">
      <w:pPr>
        <w:pBdr>
          <w:top w:val="nil"/>
          <w:left w:val="nil"/>
          <w:bottom w:val="nil"/>
          <w:right w:val="nil"/>
          <w:between w:val="nil"/>
        </w:pBdr>
        <w:spacing w:after="200"/>
        <w:ind w:left="426" w:firstLine="709"/>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También en Ecuador, Flores (2018), sustentó su investigación titulada: “</w:t>
      </w:r>
      <w:r w:rsidRPr="001973B1">
        <w:rPr>
          <w:rFonts w:ascii="Times New Roman" w:eastAsia="Times New Roman" w:hAnsi="Times New Roman" w:cs="Times New Roman"/>
          <w:i/>
          <w:color w:val="000000"/>
        </w:rPr>
        <w:t>Las fuerzas armadas en apoyo a la gestión de riesgos</w:t>
      </w:r>
      <w:r w:rsidRPr="00585286">
        <w:rPr>
          <w:rFonts w:ascii="Times New Roman" w:eastAsia="Times New Roman" w:hAnsi="Times New Roman" w:cs="Times New Roman"/>
          <w:color w:val="000000"/>
        </w:rPr>
        <w:t>”. Se planteó como objetivo establecer las líneas de acción que desarrollan las Fuerzas Armadas para atender de manera oportuna y efectiva las emergencias y desastres. Se empleó el método deductivo, tipo bibliográfica y no experimental. Trabajó con una población conformada por 24 militares y oficiales adscritos a la Sala Situaciones de GRD, a quienes aplicó la técnica de encuesta. El resultado obtenido evidenció que sólo el 8% de los oficiales consultados percibió la evacuación de la población como aporte de las Fuerzas Armadas en desastres naturales, solo el 12% consideró que hay capacitaciones, el 37% evacuación de bienes, el 54% cree que hay apoyo logístico y 58% consideró que presta atención a rehabilitar la comunicación. Como conclusión precisó que la</w:t>
      </w:r>
      <w:r>
        <w:rPr>
          <w:rFonts w:ascii="Times New Roman" w:eastAsia="Times New Roman" w:hAnsi="Times New Roman" w:cs="Times New Roman"/>
          <w:color w:val="000000"/>
        </w:rPr>
        <w:t xml:space="preserve"> </w:t>
      </w:r>
      <w:r w:rsidRPr="00585286">
        <w:rPr>
          <w:rFonts w:ascii="Times New Roman" w:eastAsia="Times New Roman" w:hAnsi="Times New Roman" w:cs="Times New Roman"/>
          <w:color w:val="000000"/>
        </w:rPr>
        <w:lastRenderedPageBreak/>
        <w:t>mayoría de los oficiales opina que el aporte en la Gestión de Riesgo de Desastres que ofrece las Fuerzas Armadas aún es insuficiente.</w:t>
      </w:r>
    </w:p>
    <w:p w14:paraId="7F53A76D" w14:textId="00E206B9" w:rsidR="00585286" w:rsidRDefault="00585286" w:rsidP="00585286">
      <w:pPr>
        <w:pBdr>
          <w:top w:val="nil"/>
          <w:left w:val="nil"/>
          <w:bottom w:val="nil"/>
          <w:right w:val="nil"/>
          <w:between w:val="nil"/>
        </w:pBdr>
        <w:spacing w:after="200"/>
        <w:ind w:left="426" w:firstLine="709"/>
        <w:jc w:val="both"/>
        <w:rPr>
          <w:rFonts w:ascii="Times New Roman" w:eastAsia="Times New Roman" w:hAnsi="Times New Roman" w:cs="Times New Roman"/>
          <w:color w:val="000000"/>
        </w:rPr>
      </w:pPr>
      <w:r w:rsidRPr="00585286">
        <w:rPr>
          <w:rFonts w:ascii="Times New Roman" w:eastAsia="Times New Roman" w:hAnsi="Times New Roman" w:cs="Times New Roman"/>
          <w:color w:val="000000"/>
        </w:rPr>
        <w:t>En Colombia, Herrera y Vivas (2018) realizaron un artículo titulado: “</w:t>
      </w:r>
      <w:r w:rsidRPr="001973B1">
        <w:rPr>
          <w:rFonts w:ascii="Times New Roman" w:eastAsia="Times New Roman" w:hAnsi="Times New Roman" w:cs="Times New Roman"/>
          <w:i/>
          <w:color w:val="000000"/>
        </w:rPr>
        <w:t>Gestión del riesgo y atención de desastres con Profesionales Oficiales de la Reserva del Ejército colombiano</w:t>
      </w:r>
      <w:r w:rsidRPr="00585286">
        <w:rPr>
          <w:rFonts w:ascii="Times New Roman" w:eastAsia="Times New Roman" w:hAnsi="Times New Roman" w:cs="Times New Roman"/>
          <w:color w:val="000000"/>
        </w:rPr>
        <w:t>”, donde se fijó como objetivo establecer las capacidades institucionales que posee el Ejército para implementar la Gestión del Riesgo de Desastres. La metodología se caracterizó por ser de tipo documental y de diseño no experimental. Los resultados obtenidos dan cuenta que varias regiones de ese país cuentan con contingencia profesional para enfrentar desastres naturales y que, a pesar de existir baja familiarización con la Gestión del Riesgo de Desastres, es posible mejorar las competencias y eficiencia del Ejército para intervenir ante catástrofes naturales. En consecuencia, se llegó a concluir que el Ejército Nacional debe desarrollar multimisiones y, además, debe protocolizar su participación en casos de emergencias y desastres.</w:t>
      </w:r>
    </w:p>
    <w:p w14:paraId="740A9912" w14:textId="5B95E365" w:rsidR="00657D48" w:rsidRPr="0062649D" w:rsidRDefault="003F3EEB" w:rsidP="0062649D">
      <w:pPr>
        <w:pStyle w:val="Ttulo1"/>
        <w:ind w:left="426"/>
        <w:jc w:val="left"/>
      </w:pPr>
      <w:bookmarkStart w:id="79" w:name="_2981zbj" w:colFirst="0" w:colLast="0"/>
      <w:bookmarkStart w:id="80" w:name="_Toc117518913"/>
      <w:bookmarkEnd w:id="79"/>
      <w:r w:rsidRPr="0062649D">
        <w:t>2.1.2 Investigaciones nacionales</w:t>
      </w:r>
      <w:bookmarkEnd w:id="80"/>
    </w:p>
    <w:p w14:paraId="42109602" w14:textId="77777777" w:rsidR="006C5EFA" w:rsidRDefault="001973B1" w:rsidP="006C5EFA">
      <w:pPr>
        <w:spacing w:after="200"/>
        <w:ind w:left="425" w:firstLine="567"/>
        <w:jc w:val="both"/>
        <w:rPr>
          <w:rFonts w:ascii="Times New Roman" w:eastAsia="Times New Roman" w:hAnsi="Times New Roman" w:cs="Times New Roman"/>
        </w:rPr>
      </w:pPr>
      <w:r w:rsidRPr="001973B1">
        <w:rPr>
          <w:rFonts w:ascii="Times New Roman" w:eastAsia="Times New Roman" w:hAnsi="Times New Roman" w:cs="Times New Roman"/>
        </w:rPr>
        <w:t>Quispe (2022) realizó una investigación sobre: “</w:t>
      </w:r>
      <w:r w:rsidRPr="001973B1">
        <w:rPr>
          <w:rFonts w:ascii="Times New Roman" w:eastAsia="Times New Roman" w:hAnsi="Times New Roman" w:cs="Times New Roman"/>
          <w:i/>
        </w:rPr>
        <w:t>Gestión del riesgo de desastres y eficiencia operativa en la Primera Brigada de Caballería, Piura 2020</w:t>
      </w:r>
      <w:r w:rsidRPr="001973B1">
        <w:rPr>
          <w:rFonts w:ascii="Times New Roman" w:eastAsia="Times New Roman" w:hAnsi="Times New Roman" w:cs="Times New Roman"/>
        </w:rPr>
        <w:t>”, fijándose el objetivo de demostrar que la Gestión del Riesgo de Desastres se relaciona con la eficiencia operativa que pueda mostrar la primera brigada. Aplicó la metodología de tipo básica, cuantitativa y de corte transversal – no experimental; utilizando un tamaño de muestra de 80 efectivos de la Brigada de Caballería de Piura y para la recolección de datos llegó a emplear como instrumento, el cuestionario. Los resultados indicaron que, sobre la Gestión del Riesgo de Desastres, el 15% lo apreció en un nivel bajo, 66.3% en nivel medio y sólo el 18.8% en nivel alto; por otro lado, la eficiencia operativa fue percibido por el 16.3% de los oficiales en un nivel bajo, 55% en un nivel medio y sólo 28.8% en un nivel alto. Al realizar la estadística inferencial mediante la Prueba Rho de Spearman encontró un coeficiente de 0.609 y un p valor de 0.000, precisando que existe relación directa-significativa entre la Gestión del Riesgo de Desastres y la eficiencia operativa de la Primera</w:t>
      </w:r>
      <w:r w:rsidR="006C5EFA">
        <w:rPr>
          <w:rFonts w:ascii="Times New Roman" w:eastAsia="Times New Roman" w:hAnsi="Times New Roman" w:cs="Times New Roman"/>
        </w:rPr>
        <w:t xml:space="preserve"> </w:t>
      </w:r>
      <w:r w:rsidR="006C5EFA" w:rsidRPr="006C5EFA">
        <w:rPr>
          <w:rFonts w:ascii="Times New Roman" w:eastAsia="Times New Roman" w:hAnsi="Times New Roman" w:cs="Times New Roman"/>
        </w:rPr>
        <w:lastRenderedPageBreak/>
        <w:t>Brigada de Caballería; así mismo, las dimensiones de estimación de riesgo (Rho=0.439), preparación (Rho=0.488), respuesta (Rho=0.465) y rehabilitación (Rho=0.369), también se relaciona a la eficiencia operativa. Finalmente, se concluyó precisando que mientras mejor sea la Gestión del Riesgo de Desastres, mayor será la eficiencia operativa.</w:t>
      </w:r>
    </w:p>
    <w:p w14:paraId="10C2F6DC" w14:textId="1DBEF6D9" w:rsidR="006C5EFA" w:rsidRPr="006C5EFA" w:rsidRDefault="006C5EFA" w:rsidP="006C5EFA">
      <w:pPr>
        <w:spacing w:after="200"/>
        <w:ind w:left="425" w:firstLine="567"/>
        <w:jc w:val="both"/>
        <w:rPr>
          <w:rFonts w:ascii="Times New Roman" w:eastAsia="Times New Roman" w:hAnsi="Times New Roman" w:cs="Times New Roman"/>
        </w:rPr>
      </w:pPr>
      <w:r w:rsidRPr="006C5EFA">
        <w:rPr>
          <w:rFonts w:ascii="Times New Roman" w:eastAsia="Times New Roman" w:hAnsi="Times New Roman" w:cs="Times New Roman"/>
        </w:rPr>
        <w:t>Bernabe (2021) realizó una investigación sobre: “</w:t>
      </w:r>
      <w:r w:rsidRPr="006C5EFA">
        <w:rPr>
          <w:rFonts w:ascii="Times New Roman" w:eastAsia="Times New Roman" w:hAnsi="Times New Roman" w:cs="Times New Roman"/>
          <w:i/>
        </w:rPr>
        <w:t>Evaluación de la gestión del riesgo de desastres y la capacidad de respuesta a las emergencias de la plataforma de defensa civil del distrito de Lambayeque, 2020</w:t>
      </w:r>
      <w:r w:rsidRPr="006C5EFA">
        <w:rPr>
          <w:rFonts w:ascii="Times New Roman" w:eastAsia="Times New Roman" w:hAnsi="Times New Roman" w:cs="Times New Roman"/>
        </w:rPr>
        <w:t>”, teniendo como objetivo de demostrar que la Gestión del Riesgo de Desastres incide sobre la capacidad de respuesta ante emergencia por parte de Defensa Civil. Se utilizó una metodología de enfoque mixto y explicativo – correlacional; utilizando un tamaño de muestra de 52 servidores de Defensa Civil, a quienes encuestó como parte del trabajo de recolección de datos. Los resultados obtenidos de la prueba Rho Spearman reflejaron un coeficiente de 0.988 y un p = 0.000, lo cual permitió inferir que la variable Gestión del Riesgo de Desastres tiene relación positiva con la capacidad de respuesta de Defensa Civil; además, también estuvo relacionado a las dimensiones de preparación permanente (Rho=0.835) y respuesta inmediata (Rho=0.827). Llegó a concluir que la ejecución de una adecuada Gestión del Riesgo de Desastres tendría efectos positivos en la mejora de la capacidad de respuesta para atender emergencias originadas por factores naturales.</w:t>
      </w:r>
    </w:p>
    <w:p w14:paraId="38A97994" w14:textId="7B3570B7" w:rsidR="006C5EFA" w:rsidRPr="006C5EFA" w:rsidRDefault="006C5EFA" w:rsidP="006C5EFA">
      <w:pPr>
        <w:spacing w:after="200"/>
        <w:ind w:left="425" w:firstLine="567"/>
        <w:jc w:val="both"/>
        <w:rPr>
          <w:rFonts w:ascii="Times New Roman" w:eastAsia="Times New Roman" w:hAnsi="Times New Roman" w:cs="Times New Roman"/>
        </w:rPr>
      </w:pPr>
      <w:r w:rsidRPr="006C5EFA">
        <w:rPr>
          <w:rFonts w:ascii="Times New Roman" w:eastAsia="Times New Roman" w:hAnsi="Times New Roman" w:cs="Times New Roman"/>
        </w:rPr>
        <w:t>Moncada (2021) realizó una investigación sobre: “</w:t>
      </w:r>
      <w:r w:rsidRPr="006C5EFA">
        <w:rPr>
          <w:rFonts w:ascii="Times New Roman" w:eastAsia="Times New Roman" w:hAnsi="Times New Roman" w:cs="Times New Roman"/>
          <w:i/>
        </w:rPr>
        <w:t>Gestión de riesgo de desastre y la vulnerabilidad en la población de la Municipalidad Provincial del Santa, 2019</w:t>
      </w:r>
      <w:r w:rsidRPr="006C5EFA">
        <w:rPr>
          <w:rFonts w:ascii="Times New Roman" w:eastAsia="Times New Roman" w:hAnsi="Times New Roman" w:cs="Times New Roman"/>
        </w:rPr>
        <w:t>”, teniendo como objetivo demostrar la relación que tiene la Gestión del Riesgo de Desastres con la vulnerabilidad de la población. Se utilizó los lineamientos de una metodología de tipo cuantitativo y no experimental; utilizando un tamaño de muestra de 28 trabajadores de la Municipalidad citada, a quienes encuestó como parte del trabajo de recolección de datos. Los resultados pusieron en evidencia que el 54% de la población encuestada aseveró que la gestión de riesgo de desastres es buena, 34% consideró que es regular y 12% precisó que es malo; respecto a la</w:t>
      </w:r>
      <w:r>
        <w:rPr>
          <w:rFonts w:ascii="Times New Roman" w:eastAsia="Times New Roman" w:hAnsi="Times New Roman" w:cs="Times New Roman"/>
        </w:rPr>
        <w:t xml:space="preserve"> </w:t>
      </w:r>
      <w:r w:rsidRPr="006C5EFA">
        <w:rPr>
          <w:rFonts w:ascii="Times New Roman" w:eastAsia="Times New Roman" w:hAnsi="Times New Roman" w:cs="Times New Roman"/>
        </w:rPr>
        <w:lastRenderedPageBreak/>
        <w:t>vulnerabilidad de la población, el 45% precisó que es bueno, 42% estableció que es regular y el 13% indicó que es malo. Además, al desarrollar la prueba Rho Spearman se obtuvo un coeficiente de 0.981 y un p=0.000, evidenciándose que la correlación es muy alta entre las variables. Por ello, concluyó que la Gestión del Riesgo de Desastres se relaciona significativamente con el grado de vulnerabilidad de la población; lo cual se puede inferir que la adecuada implementación de este tipo de gestión permitirá la reducción de los peligros existentes ante algún peligro de origen natural.</w:t>
      </w:r>
    </w:p>
    <w:p w14:paraId="58A9F7CF" w14:textId="77777777" w:rsidR="006C5EFA" w:rsidRPr="006C5EFA" w:rsidRDefault="006C5EFA" w:rsidP="006C5EFA">
      <w:pPr>
        <w:spacing w:after="200"/>
        <w:ind w:left="425" w:firstLine="567"/>
        <w:jc w:val="both"/>
        <w:rPr>
          <w:rFonts w:ascii="Times New Roman" w:eastAsia="Times New Roman" w:hAnsi="Times New Roman" w:cs="Times New Roman"/>
        </w:rPr>
      </w:pPr>
      <w:r w:rsidRPr="006C5EFA">
        <w:rPr>
          <w:rFonts w:ascii="Times New Roman" w:eastAsia="Times New Roman" w:hAnsi="Times New Roman" w:cs="Times New Roman"/>
        </w:rPr>
        <w:t>Vicuña (2021) realizó una investigación sobre: “</w:t>
      </w:r>
      <w:r w:rsidRPr="006C5EFA">
        <w:rPr>
          <w:rFonts w:ascii="Times New Roman" w:eastAsia="Times New Roman" w:hAnsi="Times New Roman" w:cs="Times New Roman"/>
          <w:i/>
        </w:rPr>
        <w:t>Gestión del riesgo de desastres y competencias profesionales del Batallón de Ingeniería de Construcción No 1 de Jazán, Bongar</w:t>
      </w:r>
      <w:r w:rsidRPr="006C5EFA">
        <w:rPr>
          <w:rFonts w:ascii="Times New Roman" w:eastAsia="Times New Roman" w:hAnsi="Times New Roman" w:cs="Times New Roman"/>
        </w:rPr>
        <w:t>”, con el objetivo de establecer que la Gestión del Riesgo de Desastres se relaciona con las competencias profesionales del citado batallón. Se fundamentó en una metodología de tipo básica, correlacional y no experimental; utilizando un tamaño de muestra de 102 profesionales entre oficiales y sub-oficiales de la Tropa 57; empleándose el cuestionario para obtener información sobre la variable en estudio. Los resultados pusieron en evidencia que las Gestiones del Riesgo de Desastres predominaron el nivel regular en su dimensión de estimación de riesgo (51.0%), gestión prospectiva-correctiva (51.0%) y gestión reactiva (43.1%); así mismo, las competencias profesionales fueron percibidos en un nivel regular en sus dimensiones de competencia transversal (48.0%), competencias estratégicas (44.1%) y competencias funcionales (59.8%); de otro lado, se evidenció que existe correlación positiva moderada entre la Gestión del Riesgo de Desastres y las competencias profesionales; con un coeficiente de 0.673 y un p = 0.000 de la prueba Rho de Spearman. Se concluyó precisando que la Gestión del Riesgo de Desastres que maneja el Batallón de Ingeniería de Construcción N°1 presenta un nivel regular y se requiere que los oficiales reciban capacitaciones.</w:t>
      </w:r>
    </w:p>
    <w:p w14:paraId="27919DBC" w14:textId="662DDEE5" w:rsidR="006C5EFA" w:rsidRDefault="006C5EFA" w:rsidP="006C5EFA">
      <w:pPr>
        <w:spacing w:after="200"/>
        <w:ind w:left="425" w:firstLine="567"/>
        <w:jc w:val="both"/>
        <w:rPr>
          <w:rFonts w:ascii="Times New Roman" w:eastAsia="Times New Roman" w:hAnsi="Times New Roman" w:cs="Times New Roman"/>
        </w:rPr>
      </w:pPr>
      <w:r w:rsidRPr="006C5EFA">
        <w:rPr>
          <w:rFonts w:ascii="Times New Roman" w:eastAsia="Times New Roman" w:hAnsi="Times New Roman" w:cs="Times New Roman"/>
        </w:rPr>
        <w:t xml:space="preserve">Sánchez (2020) sustentó un estudio titulado: </w:t>
      </w:r>
      <w:r>
        <w:rPr>
          <w:rFonts w:ascii="Times New Roman" w:eastAsia="Times New Roman" w:hAnsi="Times New Roman" w:cs="Times New Roman"/>
        </w:rPr>
        <w:t>“</w:t>
      </w:r>
      <w:r w:rsidRPr="006C5EFA">
        <w:rPr>
          <w:rFonts w:ascii="Times New Roman" w:eastAsia="Times New Roman" w:hAnsi="Times New Roman" w:cs="Times New Roman"/>
          <w:i/>
        </w:rPr>
        <w:t>Participación ciudadana y la gestión del riesgo de desastres, mancomunidad municipal de Lima Este, carretera central, 2020</w:t>
      </w:r>
      <w:r>
        <w:rPr>
          <w:rFonts w:ascii="Times New Roman" w:eastAsia="Times New Roman" w:hAnsi="Times New Roman" w:cs="Times New Roman"/>
        </w:rPr>
        <w:t>”</w:t>
      </w:r>
      <w:r w:rsidRPr="006C5EFA">
        <w:rPr>
          <w:rFonts w:ascii="Times New Roman" w:eastAsia="Times New Roman" w:hAnsi="Times New Roman" w:cs="Times New Roman"/>
        </w:rPr>
        <w:t>, teniendo como objetivo demostrar la participación</w:t>
      </w:r>
      <w:r>
        <w:rPr>
          <w:rFonts w:ascii="Times New Roman" w:eastAsia="Times New Roman" w:hAnsi="Times New Roman" w:cs="Times New Roman"/>
        </w:rPr>
        <w:t xml:space="preserve"> </w:t>
      </w:r>
      <w:r w:rsidRPr="006C5EFA">
        <w:rPr>
          <w:rFonts w:ascii="Times New Roman" w:eastAsia="Times New Roman" w:hAnsi="Times New Roman" w:cs="Times New Roman"/>
        </w:rPr>
        <w:lastRenderedPageBreak/>
        <w:t>ciudadana se encuentra relacionada con la Gestión del Riesgo de Desastres. La metodología que se utilizó fue el enfoque cuantitativo y el alcance correlacional– básica; utilizando un tamaño de muestra de 40 servidores públicos del área de Gestión del Riesgo de Desastres y Defensa Civil de 5 municipalidades de Lima Este. La técnica utilizada fue la encuesta. Como resultado se mostró que la gestión de riesgo de desastres es percibida como regular por el 40% de los encuestados, a la vez que el 35% consideró que la participación ciudadana es regular. De otro lado, se evidenció un coeficiente de 0.366 y un p =0.000 en la prueba de Rho de Spearman, refiriendo que existe relación significativa entre la participación ciudadana y la Gestión del Riesgo de Desastres. Se concluyó mencionando que la mayoría de los encuestados sugieren que la configuración de una Gestión del Riesgo de Desastres requiere de la participación activa de la ciudadanía.</w:t>
      </w:r>
    </w:p>
    <w:p w14:paraId="37D2507A" w14:textId="2B8CA586" w:rsidR="00657D48" w:rsidRPr="0062649D" w:rsidRDefault="003F3EEB" w:rsidP="0062649D">
      <w:pPr>
        <w:pStyle w:val="Ttulo1"/>
        <w:jc w:val="left"/>
      </w:pPr>
      <w:bookmarkStart w:id="81" w:name="_odc9jc" w:colFirst="0" w:colLast="0"/>
      <w:bookmarkStart w:id="82" w:name="_Toc117518914"/>
      <w:bookmarkEnd w:id="81"/>
      <w:r w:rsidRPr="0062649D">
        <w:t>2.2. Bases teóricas</w:t>
      </w:r>
      <w:bookmarkEnd w:id="82"/>
    </w:p>
    <w:p w14:paraId="1A663B3A" w14:textId="12F1FD39" w:rsidR="00657D48" w:rsidRPr="0062649D" w:rsidRDefault="0062649D" w:rsidP="0062649D">
      <w:pPr>
        <w:pStyle w:val="Ttulo1"/>
        <w:numPr>
          <w:ilvl w:val="1"/>
          <w:numId w:val="46"/>
        </w:numPr>
        <w:jc w:val="left"/>
      </w:pPr>
      <w:bookmarkStart w:id="83" w:name="_38czs75" w:colFirst="0" w:colLast="0"/>
      <w:bookmarkStart w:id="84" w:name="_Toc117518915"/>
      <w:bookmarkEnd w:id="83"/>
      <w:r w:rsidRPr="0062649D">
        <w:rPr>
          <w:color w:val="000000"/>
        </w:rPr>
        <w:t xml:space="preserve">1 </w:t>
      </w:r>
      <w:r w:rsidR="003F3EEB" w:rsidRPr="0062649D">
        <w:rPr>
          <w:color w:val="000000"/>
        </w:rPr>
        <w:t>Variable 1: Gestión del Riesgo de Desastres</w:t>
      </w:r>
      <w:bookmarkEnd w:id="84"/>
    </w:p>
    <w:p w14:paraId="5EFAF0EB" w14:textId="77777777" w:rsidR="00657D48" w:rsidRDefault="003F3EEB">
      <w:pPr>
        <w:numPr>
          <w:ilvl w:val="0"/>
          <w:numId w:val="2"/>
        </w:numPr>
        <w:pBdr>
          <w:top w:val="nil"/>
          <w:left w:val="nil"/>
          <w:bottom w:val="nil"/>
          <w:right w:val="nil"/>
          <w:between w:val="nil"/>
        </w:pBdr>
        <w:tabs>
          <w:tab w:val="left" w:pos="8222"/>
        </w:tabs>
        <w:spacing w:after="200"/>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Definición</w:t>
      </w:r>
    </w:p>
    <w:p w14:paraId="5BF940D6" w14:textId="792FF302" w:rsidR="00657D48" w:rsidRDefault="006C5EFA">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6C5EFA">
        <w:rPr>
          <w:rFonts w:ascii="Times New Roman" w:eastAsia="Times New Roman" w:hAnsi="Times New Roman" w:cs="Times New Roman"/>
          <w:color w:val="000000"/>
        </w:rPr>
        <w:t>La Gestión del riesgo de desastre es definida como un proceso social cuyo objetivo es prevenir, reducir y tener un control constante de los factores de riesgos de desastres que existen en zonas específicas; además de la preparación y respuesta frente a desastres, integrando políticas en materia económica, ambiental, defensa nacional, seguridad y territorial (Narváez, Lizandro, Lavell, Allan, Perez Ortega, Gustavo, 2009, p. 33).</w:t>
      </w:r>
    </w:p>
    <w:p w14:paraId="043926F1" w14:textId="77777777" w:rsidR="00657D48" w:rsidRDefault="003F3EEB">
      <w:pPr>
        <w:tabs>
          <w:tab w:val="left" w:pos="8222"/>
        </w:tabs>
        <w:spacing w:after="200"/>
        <w:ind w:left="426"/>
        <w:jc w:val="both"/>
        <w:rPr>
          <w:rFonts w:ascii="Times New Roman" w:eastAsia="Times New Roman" w:hAnsi="Times New Roman" w:cs="Times New Roman"/>
          <w:b/>
        </w:rPr>
      </w:pPr>
      <w:r>
        <w:rPr>
          <w:rFonts w:ascii="Times New Roman" w:eastAsia="Times New Roman" w:hAnsi="Times New Roman" w:cs="Times New Roman"/>
          <w:b/>
        </w:rPr>
        <w:t>B) Dimensionamiento</w:t>
      </w:r>
    </w:p>
    <w:p w14:paraId="1F978CD2" w14:textId="1264A75F" w:rsidR="00657D48" w:rsidRDefault="003F3EEB">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Dimensión 1: </w:t>
      </w:r>
      <w:r w:rsidR="006C5EFA" w:rsidRPr="006C5EFA">
        <w:rPr>
          <w:rFonts w:ascii="Times New Roman" w:eastAsia="Times New Roman" w:hAnsi="Times New Roman" w:cs="Times New Roman"/>
          <w:color w:val="000000"/>
        </w:rPr>
        <w:t>Proceso de reducción del riesgo</w:t>
      </w:r>
      <w:r w:rsidR="00E03DF7">
        <w:rPr>
          <w:rFonts w:ascii="Times New Roman" w:eastAsia="Times New Roman" w:hAnsi="Times New Roman" w:cs="Times New Roman"/>
          <w:color w:val="000000"/>
        </w:rPr>
        <w:t>, s</w:t>
      </w:r>
      <w:r w:rsidR="006C5EFA" w:rsidRPr="006C5EFA">
        <w:rPr>
          <w:rFonts w:ascii="Times New Roman" w:eastAsia="Times New Roman" w:hAnsi="Times New Roman" w:cs="Times New Roman"/>
          <w:color w:val="000000"/>
        </w:rPr>
        <w:t>e refiere a las medidas que se pueden realizar con el fin de disminuir sustancialmente los riesgos y vulnerabilidades existentes en un área de la gestión del desarrollo sostenible. (Reglamento de la Ley N°29664, 2011)</w:t>
      </w:r>
    </w:p>
    <w:p w14:paraId="7EB84D74" w14:textId="7945B7B4" w:rsidR="006C5EFA" w:rsidRDefault="003F3EEB" w:rsidP="006C5EFA">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Dimensión 2: </w:t>
      </w:r>
      <w:r w:rsidR="006C5EFA" w:rsidRPr="006C5EFA">
        <w:rPr>
          <w:rFonts w:ascii="Times New Roman" w:eastAsia="Times New Roman" w:hAnsi="Times New Roman" w:cs="Times New Roman"/>
          <w:color w:val="000000"/>
        </w:rPr>
        <w:t>Proceso de preparación. Se trata de un conjunto de medidas o acciones de planeamiento, organización de la sociedad y de</w:t>
      </w:r>
      <w:r w:rsidR="00D449B8">
        <w:rPr>
          <w:rFonts w:ascii="Times New Roman" w:eastAsia="Times New Roman" w:hAnsi="Times New Roman" w:cs="Times New Roman"/>
          <w:color w:val="000000"/>
        </w:rPr>
        <w:t xml:space="preserve"> </w:t>
      </w:r>
      <w:r w:rsidR="006C5EFA" w:rsidRPr="006C5EFA">
        <w:rPr>
          <w:rFonts w:ascii="Times New Roman" w:eastAsia="Times New Roman" w:hAnsi="Times New Roman" w:cs="Times New Roman"/>
          <w:color w:val="000000"/>
        </w:rPr>
        <w:lastRenderedPageBreak/>
        <w:t>mejoramiento de las capacidades, adecuadas operaciones de entidades gubernamentales locales y regionales responsables de la atención y apoyo, de gestión de recursos, entre otros que permitan anticiparse y responder de manera eficaz y eficiente los casos de desastres o situaciones de peligro inminente, buscando procurar una respuesta óptima por parte del gobierno y de la sociedad. (Decreto Supremo [DS] N° 048-2011-PCM, 2011)</w:t>
      </w:r>
    </w:p>
    <w:p w14:paraId="30AB10F1" w14:textId="5225798C" w:rsidR="00657D48" w:rsidRDefault="003F3EEB" w:rsidP="006C5EFA">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Dimensión 3: </w:t>
      </w:r>
      <w:r w:rsidR="006C5EFA" w:rsidRPr="006C5EFA">
        <w:rPr>
          <w:rFonts w:ascii="Times New Roman" w:eastAsia="Times New Roman" w:hAnsi="Times New Roman" w:cs="Times New Roman"/>
          <w:color w:val="000000"/>
        </w:rPr>
        <w:t>Proceso de respuesta. Este proceso implica que se constituyan una serie de actividades y acciones que se activan durante la emergencia o desastre, en el momento que ocurre el episodio éste, así como ante la inminencia del mismo. (Decreto Supremo N° 048-2011-PCM, 2011</w:t>
      </w:r>
      <w:r>
        <w:rPr>
          <w:rFonts w:ascii="Times New Roman" w:eastAsia="Times New Roman" w:hAnsi="Times New Roman" w:cs="Times New Roman"/>
          <w:color w:val="000000"/>
        </w:rPr>
        <w:t>)</w:t>
      </w:r>
    </w:p>
    <w:p w14:paraId="2DB5AD77" w14:textId="53DCFA6A" w:rsidR="00657D48" w:rsidRPr="0062649D" w:rsidRDefault="0062649D" w:rsidP="0062649D">
      <w:pPr>
        <w:pStyle w:val="Ttulo1"/>
        <w:ind w:left="426"/>
        <w:jc w:val="left"/>
      </w:pPr>
      <w:bookmarkStart w:id="85" w:name="_1nia2ey" w:colFirst="0" w:colLast="0"/>
      <w:bookmarkStart w:id="86" w:name="_Toc117518916"/>
      <w:bookmarkEnd w:id="85"/>
      <w:r>
        <w:rPr>
          <w:color w:val="000000"/>
        </w:rPr>
        <w:t xml:space="preserve">2.2.2 </w:t>
      </w:r>
      <w:r w:rsidR="003F3EEB" w:rsidRPr="0062649D">
        <w:rPr>
          <w:color w:val="000000"/>
        </w:rPr>
        <w:t xml:space="preserve">Variable </w:t>
      </w:r>
      <w:r w:rsidR="008A2FC1" w:rsidRPr="0062649D">
        <w:rPr>
          <w:color w:val="000000"/>
        </w:rPr>
        <w:t>2</w:t>
      </w:r>
      <w:r w:rsidR="003F3EEB" w:rsidRPr="0062649D">
        <w:rPr>
          <w:color w:val="000000"/>
        </w:rPr>
        <w:t>: Competencia en el Sector Defensa</w:t>
      </w:r>
      <w:bookmarkEnd w:id="86"/>
    </w:p>
    <w:p w14:paraId="2DCC85C0" w14:textId="77777777" w:rsidR="00657D48" w:rsidRDefault="003F3EEB">
      <w:pPr>
        <w:tabs>
          <w:tab w:val="left" w:pos="8222"/>
        </w:tabs>
        <w:spacing w:after="200"/>
        <w:ind w:left="426"/>
        <w:jc w:val="both"/>
        <w:rPr>
          <w:rFonts w:ascii="Times New Roman" w:eastAsia="Times New Roman" w:hAnsi="Times New Roman" w:cs="Times New Roman"/>
          <w:b/>
        </w:rPr>
      </w:pPr>
      <w:r>
        <w:rPr>
          <w:rFonts w:ascii="Times New Roman" w:eastAsia="Times New Roman" w:hAnsi="Times New Roman" w:cs="Times New Roman"/>
          <w:b/>
        </w:rPr>
        <w:t>A) Definición</w:t>
      </w:r>
    </w:p>
    <w:p w14:paraId="1A33D039" w14:textId="1BDF7083" w:rsidR="00657D48" w:rsidRDefault="00D449B8">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De conformidad con los lineamientos de la Política Nacional de Gestión del Riesgo de Desastres, el Sector Defensa debe incorporar los procesos y componentes de la GRD, intrínsecamente en toda su organización, así como fomentar la generación de una cultura de prevención como parte del desarrollo y el fortalecimiento institucional, generar capacidades para aplicar las medidas estratégicas, operativas y financieras que permitan minimizar los peligros a los que están expuestos y prevenir la existencia de nuevos riesgos. (Directiva N° 021-2020- DE/SG/VPD/DIGEPE/DIRMOV, 2020).</w:t>
      </w:r>
    </w:p>
    <w:p w14:paraId="50C7DA65" w14:textId="77777777" w:rsidR="00657D48" w:rsidRDefault="003F3EEB">
      <w:pPr>
        <w:tabs>
          <w:tab w:val="left" w:pos="8222"/>
        </w:tabs>
        <w:spacing w:after="200"/>
        <w:ind w:left="426"/>
        <w:jc w:val="both"/>
        <w:rPr>
          <w:rFonts w:ascii="Times New Roman" w:eastAsia="Times New Roman" w:hAnsi="Times New Roman" w:cs="Times New Roman"/>
          <w:b/>
        </w:rPr>
      </w:pPr>
      <w:r>
        <w:rPr>
          <w:rFonts w:ascii="Times New Roman" w:eastAsia="Times New Roman" w:hAnsi="Times New Roman" w:cs="Times New Roman"/>
          <w:b/>
        </w:rPr>
        <w:t>B) Dimensionamiento</w:t>
      </w:r>
    </w:p>
    <w:p w14:paraId="1E123DAB" w14:textId="0D3BC9CD" w:rsidR="00657D48" w:rsidRDefault="003F3EEB">
      <w:pPr>
        <w:tabs>
          <w:tab w:val="left" w:pos="8222"/>
        </w:tabs>
        <w:spacing w:after="200"/>
        <w:ind w:left="425" w:firstLine="567"/>
        <w:jc w:val="both"/>
        <w:rPr>
          <w:rFonts w:ascii="Times New Roman" w:eastAsia="Times New Roman" w:hAnsi="Times New Roman" w:cs="Times New Roman"/>
        </w:rPr>
      </w:pPr>
      <w:r>
        <w:rPr>
          <w:rFonts w:ascii="Times New Roman" w:eastAsia="Times New Roman" w:hAnsi="Times New Roman" w:cs="Times New Roman"/>
          <w:b/>
        </w:rPr>
        <w:t xml:space="preserve">Dimensión 1: </w:t>
      </w:r>
      <w:r w:rsidR="00D449B8" w:rsidRPr="00D449B8">
        <w:rPr>
          <w:rFonts w:ascii="Times New Roman" w:eastAsia="Times New Roman" w:hAnsi="Times New Roman" w:cs="Times New Roman"/>
        </w:rPr>
        <w:t>Medidas de socialización. Se trata de un proceso en donde las personas incorporan roles, valores, actitudes, normas y creencias, en base al contexto socio-histórico en donde se desenvuelven mediante diferentes agentes de socialización que pueden ser representado por la familia, los medios de comunicación, colegios, empresas, entre otros (Arnett, 1995; Maccoby, 2007; Grusec y Hastings, 2007)</w:t>
      </w:r>
      <w:r w:rsidR="00D449B8">
        <w:rPr>
          <w:rFonts w:ascii="Times New Roman" w:eastAsia="Times New Roman" w:hAnsi="Times New Roman" w:cs="Times New Roman"/>
        </w:rPr>
        <w:t>.</w:t>
      </w:r>
    </w:p>
    <w:p w14:paraId="3CD48EF4" w14:textId="4DAAC35D" w:rsidR="00657D48" w:rsidRDefault="003F3EEB" w:rsidP="00D449B8">
      <w:pPr>
        <w:tabs>
          <w:tab w:val="left" w:pos="8222"/>
        </w:tabs>
        <w:spacing w:after="200"/>
        <w:ind w:left="425" w:firstLine="567"/>
        <w:jc w:val="both"/>
        <w:rPr>
          <w:rFonts w:ascii="Times New Roman" w:eastAsia="Times New Roman" w:hAnsi="Times New Roman" w:cs="Times New Roman"/>
        </w:rPr>
      </w:pPr>
      <w:r>
        <w:rPr>
          <w:rFonts w:ascii="Times New Roman" w:eastAsia="Times New Roman" w:hAnsi="Times New Roman" w:cs="Times New Roman"/>
          <w:b/>
        </w:rPr>
        <w:t xml:space="preserve">Dimensión 2: </w:t>
      </w:r>
      <w:r w:rsidR="00D449B8" w:rsidRPr="00D449B8">
        <w:rPr>
          <w:rFonts w:ascii="Times New Roman" w:eastAsia="Times New Roman" w:hAnsi="Times New Roman" w:cs="Times New Roman"/>
        </w:rPr>
        <w:t>Medidas de sensibilización. Se trata de un proceso que involucra a la comunidad al cual se espera sensibilizar, es mucho más que un</w:t>
      </w:r>
      <w:r w:rsidR="00D449B8">
        <w:rPr>
          <w:rFonts w:ascii="Times New Roman" w:eastAsia="Times New Roman" w:hAnsi="Times New Roman" w:cs="Times New Roman"/>
        </w:rPr>
        <w:t xml:space="preserve"> </w:t>
      </w:r>
      <w:r w:rsidR="00D449B8" w:rsidRPr="00D449B8">
        <w:rPr>
          <w:rFonts w:ascii="Times New Roman" w:eastAsia="Times New Roman" w:hAnsi="Times New Roman" w:cs="Times New Roman"/>
        </w:rPr>
        <w:lastRenderedPageBreak/>
        <w:t>proceso comunal, también es individual, que busca la reflexión en las personas sobre los fenómenos que, según el físico Kant, es un asunto de interés colectivo y, es por ello, que la sensibilización se coloca como un medio que in</w:t>
      </w:r>
      <w:r w:rsidR="00E03DF7">
        <w:rPr>
          <w:rFonts w:ascii="Times New Roman" w:eastAsia="Times New Roman" w:hAnsi="Times New Roman" w:cs="Times New Roman"/>
        </w:rPr>
        <w:t>c</w:t>
      </w:r>
      <w:r w:rsidR="00D449B8" w:rsidRPr="00D449B8">
        <w:rPr>
          <w:rFonts w:ascii="Times New Roman" w:eastAsia="Times New Roman" w:hAnsi="Times New Roman" w:cs="Times New Roman"/>
        </w:rPr>
        <w:t>entiva a la persona a desarrollar conductas colectivas pero adecuadas a la prevención y reacción ante desastres naturales (Barrera, 2012)</w:t>
      </w:r>
      <w:r w:rsidR="00D449B8">
        <w:rPr>
          <w:rFonts w:ascii="Times New Roman" w:eastAsia="Times New Roman" w:hAnsi="Times New Roman" w:cs="Times New Roman"/>
        </w:rPr>
        <w:t>.</w:t>
      </w:r>
    </w:p>
    <w:p w14:paraId="417D0B92" w14:textId="7AA2AA8F" w:rsidR="00657D48" w:rsidRDefault="003F3EEB">
      <w:pPr>
        <w:tabs>
          <w:tab w:val="left" w:pos="8222"/>
        </w:tabs>
        <w:spacing w:after="200"/>
        <w:ind w:left="425" w:firstLine="567"/>
        <w:jc w:val="both"/>
        <w:rPr>
          <w:rFonts w:ascii="Times New Roman" w:eastAsia="Times New Roman" w:hAnsi="Times New Roman" w:cs="Times New Roman"/>
        </w:rPr>
      </w:pPr>
      <w:r>
        <w:rPr>
          <w:rFonts w:ascii="Times New Roman" w:eastAsia="Times New Roman" w:hAnsi="Times New Roman" w:cs="Times New Roman"/>
          <w:b/>
        </w:rPr>
        <w:t xml:space="preserve">Dimensión 3: </w:t>
      </w:r>
      <w:r w:rsidR="00D449B8" w:rsidRPr="00D449B8">
        <w:rPr>
          <w:rFonts w:ascii="Times New Roman" w:eastAsia="Times New Roman" w:hAnsi="Times New Roman" w:cs="Times New Roman"/>
        </w:rPr>
        <w:t>Medidas de implementación. Las medidas de implementación de acuerdo a Alarcón et al. (2016) se trata de un conjunto de procesos encaminados a la f</w:t>
      </w:r>
      <w:r w:rsidR="00E03DF7">
        <w:rPr>
          <w:rFonts w:ascii="Times New Roman" w:eastAsia="Times New Roman" w:hAnsi="Times New Roman" w:cs="Times New Roman"/>
        </w:rPr>
        <w:t>o</w:t>
      </w:r>
      <w:r w:rsidR="00D449B8" w:rsidRPr="00D449B8">
        <w:rPr>
          <w:rFonts w:ascii="Times New Roman" w:eastAsia="Times New Roman" w:hAnsi="Times New Roman" w:cs="Times New Roman"/>
        </w:rPr>
        <w:t>rma a comportarse de acuerdo con los objetivos, estrategias y políticas.</w:t>
      </w:r>
    </w:p>
    <w:p w14:paraId="7531AD36" w14:textId="25F397D1" w:rsidR="00657D48" w:rsidRPr="0062649D" w:rsidRDefault="003F3EEB" w:rsidP="0062649D">
      <w:pPr>
        <w:pStyle w:val="Ttulo1"/>
        <w:jc w:val="left"/>
      </w:pPr>
      <w:bookmarkStart w:id="87" w:name="_47hxl2r" w:colFirst="0" w:colLast="0"/>
      <w:bookmarkStart w:id="88" w:name="_Toc117518917"/>
      <w:bookmarkEnd w:id="87"/>
      <w:r w:rsidRPr="0062649D">
        <w:rPr>
          <w:color w:val="000000"/>
        </w:rPr>
        <w:t>2.3 Bases teóricas de la tesis</w:t>
      </w:r>
      <w:bookmarkEnd w:id="88"/>
      <w:r w:rsidRPr="0062649D">
        <w:rPr>
          <w:color w:val="000000"/>
        </w:rPr>
        <w:t xml:space="preserve"> </w:t>
      </w:r>
    </w:p>
    <w:p w14:paraId="0DCEF445" w14:textId="77777777" w:rsidR="00657D48" w:rsidRDefault="003F3EEB">
      <w:pPr>
        <w:tabs>
          <w:tab w:val="left" w:pos="8222"/>
        </w:tabs>
        <w:spacing w:after="200"/>
        <w:ind w:left="426"/>
        <w:jc w:val="both"/>
        <w:rPr>
          <w:rFonts w:ascii="Times New Roman" w:eastAsia="Times New Roman" w:hAnsi="Times New Roman" w:cs="Times New Roman"/>
          <w:b/>
        </w:rPr>
      </w:pPr>
      <w:r>
        <w:rPr>
          <w:rFonts w:ascii="Times New Roman" w:eastAsia="Times New Roman" w:hAnsi="Times New Roman" w:cs="Times New Roman"/>
          <w:b/>
        </w:rPr>
        <w:t>A) Variable 1:</w:t>
      </w:r>
      <w:r>
        <w:rPr>
          <w:rFonts w:ascii="Times New Roman" w:eastAsia="Times New Roman" w:hAnsi="Times New Roman" w:cs="Times New Roman"/>
        </w:rPr>
        <w:t xml:space="preserve"> </w:t>
      </w:r>
      <w:r>
        <w:rPr>
          <w:rFonts w:ascii="Times New Roman" w:eastAsia="Times New Roman" w:hAnsi="Times New Roman" w:cs="Times New Roman"/>
          <w:b/>
        </w:rPr>
        <w:t>Gestión del Riesgo de Desastres</w:t>
      </w:r>
    </w:p>
    <w:p w14:paraId="577DB416" w14:textId="4D761866" w:rsidR="00657D4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 ONU (2009) en sus políticas internacionales para la reducción de desastres, explica que la Gestión del Riesgo de Desastres es:</w:t>
      </w:r>
    </w:p>
    <w:p w14:paraId="10A2DCD5" w14:textId="5D42CDF4" w:rsidR="00D449B8" w:rsidRDefault="00D449B8">
      <w:pPr>
        <w:pBdr>
          <w:top w:val="nil"/>
          <w:left w:val="nil"/>
          <w:bottom w:val="nil"/>
          <w:right w:val="nil"/>
          <w:between w:val="nil"/>
        </w:pBdr>
        <w:tabs>
          <w:tab w:val="left" w:pos="8222"/>
        </w:tabs>
        <w:spacing w:after="200"/>
        <w:ind w:left="993"/>
        <w:jc w:val="both"/>
        <w:rPr>
          <w:rFonts w:ascii="Times New Roman" w:eastAsia="Times New Roman" w:hAnsi="Times New Roman" w:cs="Times New Roman"/>
          <w:color w:val="000000"/>
          <w:sz w:val="22"/>
          <w:szCs w:val="22"/>
        </w:rPr>
      </w:pPr>
      <w:r w:rsidRPr="00D449B8">
        <w:rPr>
          <w:rFonts w:ascii="Times New Roman" w:eastAsia="Times New Roman" w:hAnsi="Times New Roman" w:cs="Times New Roman"/>
          <w:color w:val="000000"/>
          <w:sz w:val="22"/>
          <w:szCs w:val="22"/>
        </w:rPr>
        <w:t>Entendida como un proceso sistemático de emplear directrices administrativas, destrezas, organizaciones y capacidades operativas para garantizar la ejecución de políticas y fortalecer las medidas de respuestas, con el fin de prevenir, reducir o transferir los impactos negativos que ocasionan los desastres naturales y el riesgo de desastres a través de acciones encaminadas a la prevención, mitigación y preparación (p.19).</w:t>
      </w:r>
    </w:p>
    <w:p w14:paraId="2A6E97FD" w14:textId="7ACB8BF5" w:rsidR="00D449B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Lavell (2005), manifiesta que la Gestión del Riesgo de Desastres implica evaluar las condiciones que se posee para atender y adoptar medidas que permitan el sostenimiento de las condiciones, lo cual sugiere la construcción no solo de información, sino también la planeación de acciones que sirvan para responder en el corto plazo y con la eficiencia deseada. En esencia, la gestión del riesgo no solo supone la reducción de los desastres, es mucho más complejo, donde la participación de la ciudadanía y de los sectores estatales cumple un papel vital, pues no es suficiente con reducir la vulnerabilidad sino es necesario la participación social para sobrellevar los impactos precedentes al desastre. Por lo expuesto, la gestión del riesgo es un proceso que busca la cooperación de los sectores sociales, esto quiere decir que la población debe</w:t>
      </w:r>
      <w:r w:rsidRPr="00D449B8">
        <w:t xml:space="preserve"> </w:t>
      </w:r>
      <w:r w:rsidRPr="00D449B8">
        <w:rPr>
          <w:rFonts w:ascii="Times New Roman" w:eastAsia="Times New Roman" w:hAnsi="Times New Roman" w:cs="Times New Roman"/>
          <w:color w:val="000000"/>
        </w:rPr>
        <w:lastRenderedPageBreak/>
        <w:t>tomar conciencia sobre los riesgos y buscar reducirlos teniendo en cuenta los recursos que se posee.</w:t>
      </w:r>
    </w:p>
    <w:p w14:paraId="3E92285A" w14:textId="396765FB" w:rsidR="00D449B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Narváez et al (2009), agrega que la Gestión del riesgo de desastres evoca a ideas sobre daños y pérdidas de diferentes tipos; sin embargo, no solo refiere a ello, sino se extiende a aspiraciones de empresas que es buscar ganancias y avances que pueden recaer a condiciones desfavorables o incertidumbre. La GRD hace referencia a ciertas situaciones que pueden afectar a la sociedad de forma considerable; tales situaciones pueden comprometer la salud, economía, infraestructura, etc. Entonces, este tipo de gestión está relacionado a la ocurrencia de eventos físicos dañinos.</w:t>
      </w:r>
    </w:p>
    <w:p w14:paraId="4EC02806" w14:textId="73C71DA2" w:rsidR="00D449B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El Instituto Nacional de Defensa Civil (2006), también designado como INDECI, establece que la Gestión del Riesgo de Desastres comprende una serie de medidas y/o acciones que conjuntamente con la participación de recursos humanos y materiales permite organizar a través de programas y diligencias la prevención y reducción de los desastres, a la vez que orienta a la población sobre las medidas que deben adoptar antes, durante y después de ocurrir una emergencia y/o desastre.</w:t>
      </w:r>
    </w:p>
    <w:p w14:paraId="38C8CAF6" w14:textId="4908AEAD" w:rsidR="00D449B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 Comisión Económica para América Latina y el Caribe (Cepal, 2002), menciona que la GRD es una herramienta que calcula la probable magnitud de daños que puede sufrir el ecosistema y la sociedad por causas de fenómenos de origen natural en un periodo específico.</w:t>
      </w:r>
    </w:p>
    <w:p w14:paraId="6D220587" w14:textId="3C9F76CA" w:rsidR="00D449B8" w:rsidRDefault="00D449B8">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 Organización de las Naciones Unidas para la Agricultura y la Alimentación (2009) en sus publicaciones refiere que la GRD son marcos legales, políticos e institucionales con lineamientos administrativos e instrucciones asociados a la Gestión de Riesgos y Desastres, por ello, incluye también elementos de control de emergencias.</w:t>
      </w:r>
    </w:p>
    <w:p w14:paraId="0B24601F" w14:textId="77777777" w:rsidR="00657D48" w:rsidRDefault="003F3EEB">
      <w:pPr>
        <w:tabs>
          <w:tab w:val="left" w:pos="8222"/>
        </w:tabs>
        <w:spacing w:after="200"/>
        <w:ind w:left="426"/>
        <w:jc w:val="both"/>
        <w:rPr>
          <w:rFonts w:ascii="Times New Roman" w:eastAsia="Times New Roman" w:hAnsi="Times New Roman" w:cs="Times New Roman"/>
        </w:rPr>
      </w:pPr>
      <w:r>
        <w:rPr>
          <w:rFonts w:ascii="Times New Roman" w:eastAsia="Times New Roman" w:hAnsi="Times New Roman" w:cs="Times New Roman"/>
          <w:b/>
        </w:rPr>
        <w:t>Creación del Sistema Nacional de Gestión del Riesgo de Desastres</w:t>
      </w:r>
    </w:p>
    <w:p w14:paraId="5632D238" w14:textId="05C02198" w:rsidR="00D449B8" w:rsidRDefault="00D449B8">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Alineándose con las iniciativas que se han venido desarrollando a nivel internacional, en el caso de Perú se toma la decisión de impulsar la realización</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lastRenderedPageBreak/>
        <w:t>e integración de la Gestión del Riesgo de Desastres, teniéndose la primera iniciativa en el 2010, al circunscribir la Política de Estado 32 de Gestión del Riesgo de Desastres, cumpli</w:t>
      </w:r>
      <w:r w:rsidR="007070B8">
        <w:rPr>
          <w:rFonts w:ascii="Times New Roman" w:eastAsia="Times New Roman" w:hAnsi="Times New Roman" w:cs="Times New Roman"/>
          <w:color w:val="000000"/>
        </w:rPr>
        <w:t>endo</w:t>
      </w:r>
      <w:r w:rsidRPr="00D449B8">
        <w:rPr>
          <w:rFonts w:ascii="Times New Roman" w:eastAsia="Times New Roman" w:hAnsi="Times New Roman" w:cs="Times New Roman"/>
          <w:color w:val="000000"/>
        </w:rPr>
        <w:t xml:space="preserve"> el compromiso inscrito en el Acuerdo Nacional. Después de un año, se llegó a aprobar la Ley Nº 29664, normativa que autoriza la creación del Sistema Nacional de Gestión del Riesgo de Desastres (SINAGERD), conjuntamente con su Reglamento, aprobado mediante D.S. Nº 048-2011-PCM. El reglamento señala que el Centro Nacional de Estimación, Prevención y Reducción del Riesgo de Desastres (CENEPRED) y el Instituto Nacional de Defensa Civil (INDECI) son los entes público</w:t>
      </w:r>
      <w:r w:rsidR="0017302B">
        <w:rPr>
          <w:rFonts w:ascii="Times New Roman" w:eastAsia="Times New Roman" w:hAnsi="Times New Roman" w:cs="Times New Roman"/>
          <w:color w:val="000000"/>
        </w:rPr>
        <w:t>s</w:t>
      </w:r>
      <w:r w:rsidRPr="00D449B8">
        <w:rPr>
          <w:rFonts w:ascii="Times New Roman" w:eastAsia="Times New Roman" w:hAnsi="Times New Roman" w:cs="Times New Roman"/>
          <w:color w:val="000000"/>
        </w:rPr>
        <w:t xml:space="preserve"> ejecutores responsables de facilitar, coordinar y auditar la formulación e instauración de la Política Nacional y el Plan Nacional de Gestión del Riesgo de Desastres, en los procesos de estimación, prevención y reducción del riesgo, además de la reconstrucción en el caso de CENEPRED y de los procesos de preparación, respuesta y rehabilitación en el caso de INDECI. Además, las dos entidades desarrollan, proponen y asesoran al ente rector, así como a las demás instituciones que son parte del Sistema Nacional de Gestión del Riesgo de Desastres sobre las políticas y lineamientos, en materia de procesos que le son asignados.</w:t>
      </w:r>
    </w:p>
    <w:p w14:paraId="3EE131BA" w14:textId="0D626528" w:rsidR="00657D48" w:rsidRDefault="00D449B8">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En el 2012, se llega a aprobar la Política Nacional de Gestión del Riesgo de Desastres como régimen de carácter obligatorio cumpli</w:t>
      </w:r>
      <w:r w:rsidR="0017302B">
        <w:rPr>
          <w:rFonts w:ascii="Times New Roman" w:eastAsia="Times New Roman" w:hAnsi="Times New Roman" w:cs="Times New Roman"/>
          <w:color w:val="000000"/>
        </w:rPr>
        <w:t>miento</w:t>
      </w:r>
      <w:r w:rsidRPr="00D449B8">
        <w:rPr>
          <w:rFonts w:ascii="Times New Roman" w:eastAsia="Times New Roman" w:hAnsi="Times New Roman" w:cs="Times New Roman"/>
          <w:color w:val="000000"/>
        </w:rPr>
        <w:t xml:space="preserve"> y, debido a su necesidad, se llega aprobar el Plan Nacional de Gestión del Riesgo de Desastre (PLANAGERD) 2014 – 2021, en el mes de mayo del 2014.</w:t>
      </w:r>
    </w:p>
    <w:p w14:paraId="603D8D4D" w14:textId="07D8EAD4" w:rsidR="00657D48" w:rsidRDefault="00D449B8">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bookmarkStart w:id="89" w:name="_Hlk106922953"/>
      <w:r w:rsidRPr="00D449B8">
        <w:rPr>
          <w:rFonts w:ascii="Times New Roman" w:eastAsia="Times New Roman" w:hAnsi="Times New Roman" w:cs="Times New Roman"/>
          <w:color w:val="000000"/>
        </w:rPr>
        <w:t>El PLANAGERD 2014 – 2021, es un documento alineado a los principios del Marco de Hyogo 2005-2015, el cual es un instrumento importante para el Sistema Nacional de Gestión del Riesgo de Desastres, ya que incluye las tareas de Estimación, Prevención, Reducción del Riesgo, Preparación, Respuesta, Rehabilitación y Reconstrucción. Además, tiene como objetivo poner bases estratégicas, principios, procesos, acciones y formalidades de tipo plurianual, necesarias para cumplir con lo tipificado en la Ley. Consigna 1 objetivo nacional, 6 estratégicos, 14 específicos y 47 acciones estratégicas. También, se posiciona como una hoja de ruta a cumplir, por la serie de actores</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lastRenderedPageBreak/>
        <w:t>para la estructuración del Sistema Nacional de Gestión del Riesgo de Desastres y alcanzar los avances en la tarea de GRD.</w:t>
      </w:r>
    </w:p>
    <w:p w14:paraId="3462AFEB" w14:textId="42FC9444" w:rsidR="00657D48" w:rsidRDefault="00D449B8">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El Plan Nacional de Gestión del Riesgo de Desastre posee su línea de base, estructurada el mismo año del 2014 y la estrategia de implementación del Plan Nacional de Gestión del Riesgo de Desastre 2014-2021, aprobada por RM Nº 145-2018-PCM. Subsiguientemente, con el D.S. Nº 038-2021-PCM, anunciado en el diario El Peruano el 1 de marzo del 2021, se celebra la Política Nacional de Gestión del Riesgo de Desastres (PNGRD) al 2050, de carácter multisectorial, siendo de implementación inmediata por las diferentes instituciones de la gestión pública. Esta política, debido al problema público identificado propone atacar las causas directas identificadas y, por lo tanto, sus consecuencias, con el objeto de lograr la condición futura anhelada. Para el año 2050, la vulnerabilidad y los medios de vida a la que está expuesto la población, debe ser reducida, lo cual también se reflejaría en la reducción del 20% de pérdidas patrimoniales y económicas que puedan generar los desastres en relación con el PBI; además, se espera disminuir en un 13% la cantidad de viviendas situadas en zonas muy expuestas a peligros; en un 11.9% las infraestructuras públicas ubicadas en zonas altamente expuestas; que el 100% de la población pueda ser atendido si ocurriese un episodio de desastre y emergencia; además de garantizar los servicios primordiales por emergencias de nivel 4 y 5. Así pues, se llega a plantear 6 principales objetivos prioritarios que se detallan a continuación:</w:t>
      </w:r>
    </w:p>
    <w:p w14:paraId="4903A842" w14:textId="67D487E3"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t xml:space="preserve">OP1: Mejorar la comprensión del riesgo de desastres para la toma de decisiones a nivel de la población </w:t>
      </w:r>
      <w:r w:rsidR="00C24A31">
        <w:rPr>
          <w:rFonts w:ascii="Times New Roman" w:eastAsia="Times New Roman" w:hAnsi="Times New Roman" w:cs="Times New Roman"/>
          <w:color w:val="000000"/>
        </w:rPr>
        <w:t xml:space="preserve">e instituciones </w:t>
      </w:r>
      <w:r>
        <w:rPr>
          <w:rFonts w:ascii="Times New Roman" w:eastAsia="Times New Roman" w:hAnsi="Times New Roman" w:cs="Times New Roman"/>
          <w:color w:val="000000"/>
        </w:rPr>
        <w:t>del Estado.</w:t>
      </w:r>
    </w:p>
    <w:p w14:paraId="2C5AB64F" w14:textId="0202EFB5"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t>OP2: Mejorar las condiciones de ocupación y uso considerando el riesgo de desastres en el territorio.</w:t>
      </w:r>
    </w:p>
    <w:p w14:paraId="2F10AF5F" w14:textId="7D9E3241"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t>OP3: Mejorar la implementación articulada de la gestión del riesgo de desastres en el territorio.</w:t>
      </w:r>
    </w:p>
    <w:p w14:paraId="2E248B9B" w14:textId="2D4DA3ED"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t>OP4: Fortalecer la incorporación de la gestión del riesgo de desastres en la inversión pública y privada.</w:t>
      </w:r>
    </w:p>
    <w:p w14:paraId="4B0C86B6" w14:textId="4F2C7A24"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lastRenderedPageBreak/>
        <w:t xml:space="preserve">OP5: </w:t>
      </w:r>
      <w:r w:rsidR="00D449B8" w:rsidRPr="00D449B8">
        <w:rPr>
          <w:rFonts w:ascii="Times New Roman" w:eastAsia="Times New Roman" w:hAnsi="Times New Roman" w:cs="Times New Roman"/>
          <w:color w:val="000000"/>
        </w:rPr>
        <w:t>Asegurar la atención de la población ante la ocurrencia de emergencias y desastres.</w:t>
      </w:r>
    </w:p>
    <w:p w14:paraId="3A98BFF2" w14:textId="7BB1AE88" w:rsidR="00657D48" w:rsidRDefault="003F3EEB">
      <w:pPr>
        <w:numPr>
          <w:ilvl w:val="0"/>
          <w:numId w:val="5"/>
        </w:numPr>
        <w:pBdr>
          <w:top w:val="nil"/>
          <w:left w:val="nil"/>
          <w:bottom w:val="nil"/>
          <w:right w:val="nil"/>
          <w:between w:val="nil"/>
        </w:pBdr>
        <w:tabs>
          <w:tab w:val="left" w:pos="8222"/>
        </w:tabs>
        <w:spacing w:after="200"/>
        <w:ind w:left="851"/>
        <w:jc w:val="both"/>
        <w:rPr>
          <w:color w:val="000000"/>
        </w:rPr>
      </w:pPr>
      <w:r>
        <w:rPr>
          <w:rFonts w:ascii="Times New Roman" w:eastAsia="Times New Roman" w:hAnsi="Times New Roman" w:cs="Times New Roman"/>
          <w:color w:val="000000"/>
        </w:rPr>
        <w:t>OP6: Mejorar la recuperación de la población y sus medios de vida afectados por emergencias y desastres.</w:t>
      </w:r>
    </w:p>
    <w:p w14:paraId="110879DD" w14:textId="605188B1" w:rsidR="00657D48" w:rsidRDefault="00D449B8">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 nueva Política Nacional de Gestión del Riesgo de Desastres (PNGRD) al 2050 se implementa a través de 17 lineamientos y 27 servicios distribuidos en los 6 objetivos prioritarios. Es necesario resaltar que dicha política, ha sido estructurada a partir de los fundamentos alegados en las Políticas de Estado del Acuerdo Nacional, la Visión del Perú al 2050, admitida mediante el consenso realizado en el Foro del Acuerdo Nacional, realizado en el mes de abril del 2019</w:t>
      </w:r>
      <w:r w:rsidR="001F42BF">
        <w:rPr>
          <w:rFonts w:ascii="Times New Roman" w:eastAsia="Times New Roman" w:hAnsi="Times New Roman" w:cs="Times New Roman"/>
          <w:color w:val="000000"/>
        </w:rPr>
        <w:t>. E</w:t>
      </w:r>
      <w:r w:rsidRPr="00D449B8">
        <w:rPr>
          <w:rFonts w:ascii="Times New Roman" w:eastAsia="Times New Roman" w:hAnsi="Times New Roman" w:cs="Times New Roman"/>
          <w:color w:val="000000"/>
        </w:rPr>
        <w:t>l Plan Estratégico de Desarrollo Nacional (PEDN), es un documento que fue configurad</w:t>
      </w:r>
      <w:r w:rsidR="001F42BF">
        <w:rPr>
          <w:rFonts w:ascii="Times New Roman" w:eastAsia="Times New Roman" w:hAnsi="Times New Roman" w:cs="Times New Roman"/>
          <w:color w:val="000000"/>
        </w:rPr>
        <w:t>o</w:t>
      </w:r>
      <w:r w:rsidRPr="00D449B8">
        <w:rPr>
          <w:rFonts w:ascii="Times New Roman" w:eastAsia="Times New Roman" w:hAnsi="Times New Roman" w:cs="Times New Roman"/>
          <w:color w:val="000000"/>
        </w:rPr>
        <w:t xml:space="preserve"> de acuerdo a los lineamientos que presentan las políticas nacionales actuales. Inclusive, la PNGRD al 2050 se alinea al Marco de Sendai.</w:t>
      </w:r>
    </w:p>
    <w:bookmarkEnd w:id="89"/>
    <w:p w14:paraId="0D37C9B0" w14:textId="77777777" w:rsidR="00657D48" w:rsidRDefault="003F3EEB">
      <w:pPr>
        <w:tabs>
          <w:tab w:val="left" w:pos="8222"/>
        </w:tabs>
        <w:spacing w:after="200"/>
        <w:ind w:left="426"/>
        <w:jc w:val="both"/>
        <w:rPr>
          <w:rFonts w:ascii="Times New Roman" w:eastAsia="Times New Roman" w:hAnsi="Times New Roman" w:cs="Times New Roman"/>
          <w:b/>
        </w:rPr>
      </w:pPr>
      <w:r>
        <w:rPr>
          <w:rFonts w:ascii="Times New Roman" w:eastAsia="Times New Roman" w:hAnsi="Times New Roman" w:cs="Times New Roman"/>
          <w:b/>
        </w:rPr>
        <w:t>B) Variable 2:</w:t>
      </w:r>
      <w:r>
        <w:rPr>
          <w:rFonts w:ascii="Times New Roman" w:eastAsia="Times New Roman" w:hAnsi="Times New Roman" w:cs="Times New Roman"/>
        </w:rPr>
        <w:t xml:space="preserve"> </w:t>
      </w:r>
      <w:r>
        <w:rPr>
          <w:rFonts w:ascii="Times New Roman" w:eastAsia="Times New Roman" w:hAnsi="Times New Roman" w:cs="Times New Roman"/>
          <w:b/>
        </w:rPr>
        <w:t>Competencia en el Sector Defensa</w:t>
      </w:r>
    </w:p>
    <w:p w14:paraId="30411378" w14:textId="322946E2" w:rsidR="00657D48" w:rsidRDefault="00D449B8" w:rsidP="00C24A31">
      <w:pPr>
        <w:pBdr>
          <w:top w:val="nil"/>
          <w:left w:val="nil"/>
          <w:bottom w:val="nil"/>
          <w:right w:val="nil"/>
          <w:between w:val="nil"/>
        </w:pBdr>
        <w:tabs>
          <w:tab w:val="left" w:pos="8222"/>
        </w:tabs>
        <w:spacing w:after="200"/>
        <w:ind w:left="426"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Antes de nada, se identificó las medidas consideradas por el Estado mediante sus instituciones y el Sistema Nacional de Gestión del Riesgo de Desastres ante la problemática abordada. Con la admisión de “Política de Seguridad y Defensa Nacional” en el 2017, se consintió el objetivo de preparar y emplear los recursos del Estado para garantizar la Seguridad Nacional, para afrontar riesgos, obstáculos y amenazas que pueden afectar la seguridad y/o asuntos de interés del Estado. Es así que se concede un nuevo rol a las FFAA en la participación de la GRD, lo cual se representa en misiones en donde se pone marcha a las capacidades militares para salvaguardar la Defensa y Desarrollo de la Nación; precisamente, ese rol o competencia se encuentra adscrita en la constitución y otras normas actualmente vigentes (De La Cruz, et al 2015; Miranda, 2015; Vargas, 2017).</w:t>
      </w:r>
    </w:p>
    <w:p w14:paraId="4B94B4B7" w14:textId="731FF370" w:rsidR="00AB18F3" w:rsidRPr="00535FAB" w:rsidRDefault="00D449B8" w:rsidP="00D04526">
      <w:pPr>
        <w:pBdr>
          <w:top w:val="nil"/>
          <w:left w:val="nil"/>
          <w:bottom w:val="nil"/>
          <w:right w:val="nil"/>
          <w:between w:val="nil"/>
        </w:pBdr>
        <w:tabs>
          <w:tab w:val="left" w:pos="8222"/>
        </w:tabs>
        <w:spacing w:after="200"/>
        <w:ind w:left="567"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 xml:space="preserve">La Política de Seguridad y Defensa Nacional </w:t>
      </w:r>
      <w:r w:rsidR="001F42BF">
        <w:rPr>
          <w:rFonts w:ascii="Times New Roman" w:eastAsia="Times New Roman" w:hAnsi="Times New Roman" w:cs="Times New Roman"/>
          <w:color w:val="000000"/>
        </w:rPr>
        <w:t>d</w:t>
      </w:r>
      <w:r w:rsidRPr="00D449B8">
        <w:rPr>
          <w:rFonts w:ascii="Times New Roman" w:eastAsia="Times New Roman" w:hAnsi="Times New Roman" w:cs="Times New Roman"/>
          <w:color w:val="000000"/>
        </w:rPr>
        <w:t xml:space="preserve">el 2017 fue derogada y se celebró la Política Nacional Multisectorial de Seguridad y Defensa Nacional bajo el DS N°005-2021-DE, que se ha formulado </w:t>
      </w:r>
      <w:r w:rsidR="001F42BF">
        <w:rPr>
          <w:rFonts w:ascii="Times New Roman" w:eastAsia="Times New Roman" w:hAnsi="Times New Roman" w:cs="Times New Roman"/>
          <w:color w:val="000000"/>
        </w:rPr>
        <w:t xml:space="preserve">bajo </w:t>
      </w:r>
      <w:r w:rsidRPr="00D449B8">
        <w:rPr>
          <w:rFonts w:ascii="Times New Roman" w:eastAsia="Times New Roman" w:hAnsi="Times New Roman" w:cs="Times New Roman"/>
          <w:color w:val="000000"/>
        </w:rPr>
        <w:t>un enfoque</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lastRenderedPageBreak/>
        <w:t>multidimensional de la seguridad y los alcances preconizados a la doctrina de Seguridad y Defensa Nacional en el marco de la metodología establecida en la Guía de Políticas Nacionales del CEPLAN. (Política de Seguridad y Defensa Nacional-2021)</w:t>
      </w:r>
      <w:r>
        <w:rPr>
          <w:rFonts w:ascii="Times New Roman" w:eastAsia="Times New Roman" w:hAnsi="Times New Roman" w:cs="Times New Roman"/>
          <w:color w:val="000000"/>
        </w:rPr>
        <w:t>.</w:t>
      </w:r>
    </w:p>
    <w:p w14:paraId="1A814721" w14:textId="43E23865" w:rsidR="00D449B8" w:rsidRPr="00535FAB" w:rsidRDefault="00D449B8" w:rsidP="00D04526">
      <w:pPr>
        <w:pBdr>
          <w:top w:val="nil"/>
          <w:left w:val="nil"/>
          <w:bottom w:val="nil"/>
          <w:right w:val="nil"/>
          <w:between w:val="nil"/>
        </w:pBdr>
        <w:tabs>
          <w:tab w:val="left" w:pos="8222"/>
        </w:tabs>
        <w:spacing w:after="200"/>
        <w:ind w:left="567" w:firstLine="709"/>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La Política ha definido tres objetivos prioritarios que guardan relación con las causas directas e indirectas del problema publico identificado. Cada Objetivo ha definido indicadores, así como lineamientos y servicios que permiten el logro de los objetivos prioritarios identificados.</w:t>
      </w:r>
    </w:p>
    <w:p w14:paraId="6036D849" w14:textId="0FCE1B39" w:rsidR="00CA47D7" w:rsidRDefault="00D449B8" w:rsidP="00D449B8">
      <w:pPr>
        <w:pBdr>
          <w:top w:val="nil"/>
          <w:left w:val="nil"/>
          <w:bottom w:val="nil"/>
          <w:right w:val="nil"/>
          <w:between w:val="nil"/>
        </w:pBdr>
        <w:tabs>
          <w:tab w:val="left" w:pos="8222"/>
        </w:tabs>
        <w:spacing w:after="200"/>
        <w:ind w:left="567"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 xml:space="preserve">De los Objetivos el que corresponde al Objetivo Prioritario 2: </w:t>
      </w:r>
      <w:r w:rsidRPr="00D449B8">
        <w:rPr>
          <w:rFonts w:ascii="Times New Roman" w:eastAsia="Times New Roman" w:hAnsi="Times New Roman" w:cs="Times New Roman"/>
          <w:i/>
          <w:color w:val="000000"/>
        </w:rPr>
        <w:t>Garantizar el normal funcionamiento de la institucionalidad política- jurídica-social del país donde se ha considerado para la GRD el lineamiento 2.4. Fortalecer la gestión de riesgo de desastres en el país con énfasis en la participación de los actores pertinentes y sociedad en su conjunto que ha definido como servicio Las Capacidades fortalecidas de la municipalidad distrital en la organización, capacitación y entrenamiento de la sociedad civil en la GRD</w:t>
      </w:r>
      <w:r w:rsidRPr="00D449B8">
        <w:rPr>
          <w:rFonts w:ascii="Times New Roman" w:eastAsia="Times New Roman" w:hAnsi="Times New Roman" w:cs="Times New Roman"/>
          <w:color w:val="000000"/>
        </w:rPr>
        <w:t xml:space="preserve"> el cual es brindado por MINDEF por parte de INDECI en coordinación con la PCM a través de la Unidad Funcional de Ordenamiento Territorial y Gestión del Riesgo de Desastres (Política de Seguridad y Defensa Nacional-2021).</w:t>
      </w:r>
    </w:p>
    <w:p w14:paraId="70F705E9" w14:textId="504F7015" w:rsidR="00D449B8" w:rsidRDefault="00D449B8" w:rsidP="00D449B8">
      <w:pPr>
        <w:pBdr>
          <w:top w:val="nil"/>
          <w:left w:val="nil"/>
          <w:bottom w:val="nil"/>
          <w:right w:val="nil"/>
          <w:between w:val="nil"/>
        </w:pBdr>
        <w:tabs>
          <w:tab w:val="left" w:pos="8222"/>
        </w:tabs>
        <w:spacing w:after="200"/>
        <w:ind w:left="567"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 xml:space="preserve">El Comité Multisectorial que se encarga del Estudio Nacional del Fenómeno El Niño (ENFEN), el cual es una institución técnica y científica multisectorial que tiene como finalidad realizar constante monitoreo, vigilia y evaluación sobre las anomalías que muestre la atmósfera y el océano, además de estructurar medidas de prevención orientadas en mitigar los impactos que puede producir el Fenómeno El Niño; sin embargo, dicho ente no ha cumplido a cabalidad sus funciones debido a lo complejo y </w:t>
      </w:r>
      <w:r w:rsidR="00230AE9">
        <w:rPr>
          <w:rFonts w:ascii="Times New Roman" w:eastAsia="Times New Roman" w:hAnsi="Times New Roman" w:cs="Times New Roman"/>
          <w:color w:val="000000"/>
        </w:rPr>
        <w:t xml:space="preserve">la </w:t>
      </w:r>
      <w:r w:rsidRPr="00D449B8">
        <w:rPr>
          <w:rFonts w:ascii="Times New Roman" w:eastAsia="Times New Roman" w:hAnsi="Times New Roman" w:cs="Times New Roman"/>
          <w:color w:val="000000"/>
        </w:rPr>
        <w:t>constante variación del comportamiento de la atmósfera ya que se esperaba que el fenómeno se haga presente en el 2016 pero el mismo ocurrió en el año 2017. Al haber las Fuerzas Armadas previsto la participación desde el 2015 realizando múltiples planeamientos co</w:t>
      </w:r>
      <w:r w:rsidR="00230AE9">
        <w:rPr>
          <w:rFonts w:ascii="Times New Roman" w:eastAsia="Times New Roman" w:hAnsi="Times New Roman" w:cs="Times New Roman"/>
          <w:color w:val="000000"/>
        </w:rPr>
        <w:t>n el</w:t>
      </w:r>
      <w:r w:rsidRPr="00D449B8">
        <w:rPr>
          <w:rFonts w:ascii="Times New Roman" w:eastAsia="Times New Roman" w:hAnsi="Times New Roman" w:cs="Times New Roman"/>
          <w:color w:val="000000"/>
        </w:rPr>
        <w:t xml:space="preserve"> Comando Operacional del Norte</w:t>
      </w:r>
      <w:r w:rsidR="00230AE9">
        <w:rPr>
          <w:rFonts w:ascii="Times New Roman" w:eastAsia="Times New Roman" w:hAnsi="Times New Roman" w:cs="Times New Roman"/>
          <w:color w:val="000000"/>
        </w:rPr>
        <w:t>,</w:t>
      </w:r>
      <w:r w:rsidRPr="00D449B8">
        <w:rPr>
          <w:rFonts w:ascii="Times New Roman" w:eastAsia="Times New Roman" w:hAnsi="Times New Roman" w:cs="Times New Roman"/>
          <w:color w:val="000000"/>
        </w:rPr>
        <w:t xml:space="preserve"> reuniones de coordinación con el Gobierno Regional y los Gobiernos Locales </w:t>
      </w:r>
      <w:r w:rsidRPr="00D449B8">
        <w:rPr>
          <w:rFonts w:ascii="Times New Roman" w:eastAsia="Times New Roman" w:hAnsi="Times New Roman" w:cs="Times New Roman"/>
          <w:color w:val="000000"/>
        </w:rPr>
        <w:lastRenderedPageBreak/>
        <w:t>se fortaleció</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t>la instrucción y el entrenamiento del personal de tropa, pero a pesar de ello sería ideal que se sigan preparando y mejorando las acciones conjuntas (De La Cruz, et all 2015; Miranda, 2015; Vargas, 2017).</w:t>
      </w:r>
    </w:p>
    <w:p w14:paraId="05B8D16D" w14:textId="77777777" w:rsidR="00D449B8" w:rsidRDefault="00D449B8" w:rsidP="004766D6">
      <w:pPr>
        <w:pBdr>
          <w:top w:val="nil"/>
          <w:left w:val="nil"/>
          <w:bottom w:val="nil"/>
          <w:right w:val="nil"/>
          <w:between w:val="nil"/>
        </w:pBdr>
        <w:tabs>
          <w:tab w:val="left" w:pos="6521"/>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En el DL N° 1134 se admite la Ley de Organización y funciones del Ministerio de Defensa, se norma en su artículo 6, numeral 6 como función específica: “Participar en el Sistema Nacional de Gestión del Riesgo de Desastres de acuerdo a Ley”.</w:t>
      </w:r>
    </w:p>
    <w:p w14:paraId="4977B8B7" w14:textId="549B3D2F" w:rsidR="00D449B8" w:rsidRDefault="00D449B8">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A pesar que el “DL N° 1136 del Comando Conjunto de las Fuerzas Armadas, del 2012”, acentúa la necesidad de integrar la estructura que permita una respuesta eficaz en el momento que ocurre una emergencia y/o desastre dentro de las competencias de la Defensa Nacional que guían las acciones de las Fuerzas Armadas la misma no se ha podido acentuar debido a que el MINDEF y el CC</w:t>
      </w:r>
      <w:r w:rsidR="00230AE9">
        <w:rPr>
          <w:rFonts w:ascii="Times New Roman" w:eastAsia="Times New Roman" w:hAnsi="Times New Roman" w:cs="Times New Roman"/>
          <w:color w:val="000000"/>
        </w:rPr>
        <w:t>F</w:t>
      </w:r>
      <w:r w:rsidRPr="00D449B8">
        <w:rPr>
          <w:rFonts w:ascii="Times New Roman" w:eastAsia="Times New Roman" w:hAnsi="Times New Roman" w:cs="Times New Roman"/>
          <w:color w:val="000000"/>
        </w:rPr>
        <w:t>F</w:t>
      </w:r>
      <w:r w:rsidR="00230AE9">
        <w:rPr>
          <w:rFonts w:ascii="Times New Roman" w:eastAsia="Times New Roman" w:hAnsi="Times New Roman" w:cs="Times New Roman"/>
          <w:color w:val="000000"/>
        </w:rPr>
        <w:t>A</w:t>
      </w:r>
      <w:r w:rsidRPr="00D449B8">
        <w:rPr>
          <w:rFonts w:ascii="Times New Roman" w:eastAsia="Times New Roman" w:hAnsi="Times New Roman" w:cs="Times New Roman"/>
          <w:color w:val="000000"/>
        </w:rPr>
        <w:t>A, no llegaron a tomar iniciativas para el fortalecimiento de las capacidades conjuntas que permitan el cumplimiento del rol estratégico que fue asignado a las Fuerzas Armadas en el Sistema Nacional de Gestión del Riesgo de Desastres, como se señala en el artículo 17 de la Ley N° 29664 (De La Cruz, et al, 2015; Miranda, 2015; Vargas, 2017).</w:t>
      </w:r>
    </w:p>
    <w:p w14:paraId="51BDB3AD" w14:textId="022405D4" w:rsidR="00D449B8" w:rsidRDefault="00D449B8">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Ante la insuficiente capacidad de los recursos humanos, predicción, preparación y reacción inmediata; el compromiso que tiene las Fuerzas Armadas en la GRD ha sido percibida por la población civil como necesaria y efectiva durante los desastres que ocasionó el Niño en los años de 2016- 2017; aun apreciando que dicho suceso se desarrolló en una vertiginosa evolución atmosférica en los primeros meses, alcanzó su madurez a mediados de marzo y decayó a finales de abril, periodo en el que la intervención de las fuerzas fue loable. Dicho fenómeno de origen natural incidió en las condiciones climáticas de todo el eje de los Andes, territorio en el que se sitúan ciudades importantes del país, bajo el prospecto económico.</w:t>
      </w:r>
    </w:p>
    <w:p w14:paraId="3B004A17" w14:textId="17F851C6" w:rsidR="00D449B8" w:rsidRDefault="00D449B8">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Los episodios de heladas ocurridos en los Andes y friajes en la selva, son considerados como fenómenos meteorológicos recurrentes en el país, con más presencia en los territorios elevados andinos del país, especialmente, entre los</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lastRenderedPageBreak/>
        <w:t>meses de abril hasta septiembre. La intervención de las FFAA fue meramente paliativa orientándose a la ayuda humanitaria a través de acciones que buscan la dotación de abrigos y víveres a la población afectada, que habitaban en condiciones de vida sumamente difíciles y donde la participación del Estado es poca (De La Cruz, et al 2015).</w:t>
      </w:r>
    </w:p>
    <w:p w14:paraId="1BC9790F" w14:textId="1C1DAC38" w:rsidR="00657D48" w:rsidRDefault="00D449B8">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De acuerdo a las Normas del Sistema Nacional de Gestión del Riesgo de Desastres, las FFAA y la PNP, cumplen un rol importante dentro de la Gestión del Riesgo de Desastres, en los procesos de preparación y respuesta ante cualquier situación de desastres o riesgo de desastres, en coordinación con las autoridades y otros sectores competentes (Art. 17.1, LEY Nº 29664); sin embargo, luego de casi haber pasado una década aún se carece de una infraestructura que permita el entrenamiento conjunto de las Fuerzas Armadas ante los riesgos de desastres.</w:t>
      </w:r>
    </w:p>
    <w:p w14:paraId="3F6325EA" w14:textId="28EAD77B" w:rsidR="00D449B8" w:rsidRDefault="00D449B8" w:rsidP="00D449B8">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Asimismo, en la Directiva General N°021-2020-DE/SG, en el numeral</w:t>
      </w:r>
      <w:r>
        <w:rPr>
          <w:rFonts w:ascii="Times New Roman" w:eastAsia="Times New Roman" w:hAnsi="Times New Roman" w:cs="Times New Roman"/>
          <w:color w:val="000000"/>
        </w:rPr>
        <w:t xml:space="preserve"> </w:t>
      </w:r>
      <w:r w:rsidRPr="00D449B8">
        <w:rPr>
          <w:rFonts w:ascii="Times New Roman" w:eastAsia="Times New Roman" w:hAnsi="Times New Roman" w:cs="Times New Roman"/>
          <w:color w:val="000000"/>
        </w:rPr>
        <w:t>4.3 dice que: De conformidad con los lineamientos de la Política Nacional de Gestión del Riesgo de Desastres, el Sector Defensa debe incorporar los procesos y componentes de la GRD, intrínsecamente en toda su organización, así como fomentar la generación de una cultura preventiva como elemento vital para el crecimiento y el fortalecimiento institucional, generar capacidades para aplicar los mecanismos estratégicos, operativos y financieros que sirvan para disminuir el riesgo de su propia actividad debiendo reducir las posibilidades de que ocurra nuevos riesgos.</w:t>
      </w:r>
    </w:p>
    <w:p w14:paraId="54596073" w14:textId="670D140F" w:rsidR="00D449B8" w:rsidRDefault="00D449B8" w:rsidP="00D449B8">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D449B8">
        <w:rPr>
          <w:rFonts w:ascii="Times New Roman" w:eastAsia="Times New Roman" w:hAnsi="Times New Roman" w:cs="Times New Roman"/>
          <w:color w:val="000000"/>
        </w:rPr>
        <w:t xml:space="preserve">Y en su numeral 4.4. El órgano rector, los órganos ejecutores, los organismos </w:t>
      </w:r>
      <w:r w:rsidR="00230AE9">
        <w:rPr>
          <w:rFonts w:ascii="Times New Roman" w:eastAsia="Times New Roman" w:hAnsi="Times New Roman" w:cs="Times New Roman"/>
          <w:color w:val="000000"/>
        </w:rPr>
        <w:t>públicos</w:t>
      </w:r>
      <w:r w:rsidRPr="00D449B8">
        <w:rPr>
          <w:rFonts w:ascii="Times New Roman" w:eastAsia="Times New Roman" w:hAnsi="Times New Roman" w:cs="Times New Roman"/>
          <w:color w:val="000000"/>
        </w:rPr>
        <w:t xml:space="preserve"> y las </w:t>
      </w:r>
      <w:r w:rsidR="00230AE9">
        <w:rPr>
          <w:rFonts w:ascii="Times New Roman" w:eastAsia="Times New Roman" w:hAnsi="Times New Roman" w:cs="Times New Roman"/>
          <w:color w:val="000000"/>
        </w:rPr>
        <w:t xml:space="preserve">empresas </w:t>
      </w:r>
      <w:r w:rsidRPr="00D449B8">
        <w:rPr>
          <w:rFonts w:ascii="Times New Roman" w:eastAsia="Times New Roman" w:hAnsi="Times New Roman" w:cs="Times New Roman"/>
          <w:color w:val="000000"/>
        </w:rPr>
        <w:t>del Sector Defensa, deben incluir en su organigrama, un área o las que haga sus veces, responsable del planeamiento, organización, dirección, control de las actividades y acciones encaminadas a la GRD, debiendo contar con profesionales militares y civiles que posean las competencias, conocimientos y capacidades respectivas en Gestión del Riesgo de Desastres.</w:t>
      </w:r>
    </w:p>
    <w:p w14:paraId="05230E99" w14:textId="404B9F0A" w:rsidR="00D35A51" w:rsidRDefault="00D35A51" w:rsidP="00D449B8">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D35A51">
        <w:rPr>
          <w:rFonts w:ascii="Times New Roman" w:eastAsia="Times New Roman" w:hAnsi="Times New Roman" w:cs="Times New Roman"/>
          <w:color w:val="000000"/>
        </w:rPr>
        <w:t>Numeral 4.5. En cumplimiento de la establecido en el funcionamiento y constitución de los equipos de trabajo de la GRD, brindados por la PCM, el</w:t>
      </w:r>
      <w:r>
        <w:rPr>
          <w:rFonts w:ascii="Times New Roman" w:eastAsia="Times New Roman" w:hAnsi="Times New Roman" w:cs="Times New Roman"/>
          <w:color w:val="000000"/>
        </w:rPr>
        <w:t xml:space="preserve"> </w:t>
      </w:r>
      <w:r w:rsidRPr="00D35A51">
        <w:rPr>
          <w:rFonts w:ascii="Times New Roman" w:eastAsia="Times New Roman" w:hAnsi="Times New Roman" w:cs="Times New Roman"/>
          <w:color w:val="000000"/>
        </w:rPr>
        <w:lastRenderedPageBreak/>
        <w:t>MINDEF, como órgano directivo del Sector Defensa, aprueba por resolución ministerial la conformación del Grupo de Trabajo de la Gestión del Riesgo de Desastres del Ministerio de Defensa (GT-GRD MINDEF); como espacio de articulación para la estructuración de planes y políticas, evaluaciones y organización de procesos relacionados a la GRD en el ámbito de su competencia. Asimismo, el GT -GRD del MINDEF, coordinará y articulará la gestión prospectiva, correctiva y reactiva en el marco del Sistema Nacional de Gestión del Riesgo de Desastres y estará integrado por los responsables de los órganos y unidades orgánicas competentes.</w:t>
      </w:r>
    </w:p>
    <w:p w14:paraId="65587DC8" w14:textId="77777777" w:rsidR="00D35A51" w:rsidRDefault="00D35A51" w:rsidP="006F1C80">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D35A51">
        <w:rPr>
          <w:rFonts w:ascii="Times New Roman" w:eastAsia="Times New Roman" w:hAnsi="Times New Roman" w:cs="Times New Roman"/>
          <w:color w:val="000000"/>
        </w:rPr>
        <w:t>En referencia a las Disposiciones Específicas y en el numeral 5.3 se señala que se debe elaborar el Plan de Prevención y Reducción de Riesgos de Desastres del Sector Defensa donde se identificará acciones, proyectos y programas orientadas en la eliminación y/o control de las condiciones que implican un riesgo de desastre y se prevenga la producción de nuevas condiciones que impliquen un riesgo. Este documento se tiene planteado que se realice el próximo año por el Equipo Técnico del GT-GRD MINDEF y aprobado por el GT-GRD MINDEF que tenga como fin reducir las condiciones de riesgo en el Sector Defensa.</w:t>
      </w:r>
    </w:p>
    <w:p w14:paraId="68970E73" w14:textId="77777777" w:rsidR="00C8002F" w:rsidRDefault="00D35A51" w:rsidP="00C8002F">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D35A51">
        <w:rPr>
          <w:rFonts w:ascii="Times New Roman" w:eastAsia="Times New Roman" w:hAnsi="Times New Roman" w:cs="Times New Roman"/>
          <w:color w:val="000000"/>
        </w:rPr>
        <w:t>En referencia a los planes de gestión reactiva se han aprobado tres planes: con RM N° 0528-2020-DE/SG el Plan de Contingencia del Sector Defensa ante Sismo de Gran Magnitud, seguido por Tsunami en la Costa del país y con RM N° 0527-2020-DE/SG el Plan de Contingencia del Sector Defensa ante Lluvias Intensas del Sector y a mediados del año 2021 se decreta el Plan de Preparación del Sector Defensa.</w:t>
      </w:r>
    </w:p>
    <w:p w14:paraId="232870C3" w14:textId="77777777" w:rsidR="00C8002F" w:rsidRDefault="00D35A51" w:rsidP="00C8002F">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D35A51">
        <w:rPr>
          <w:rFonts w:ascii="Times New Roman" w:eastAsia="Times New Roman" w:hAnsi="Times New Roman" w:cs="Times New Roman"/>
          <w:color w:val="000000"/>
        </w:rPr>
        <w:t>El Plan de Preparación del Sector Defensa, tiene como propósito el fortalecimiento de las capacidades que posee el Sector Defensa para anticiparse y accionar de manera eficaz y eficiente ante situaciones de desastres o peligros inminentes en vigilancia de la seguridad de la ciudadanía y sus medios de vida dentro del marco de competencias de ese sector.</w:t>
      </w:r>
    </w:p>
    <w:p w14:paraId="69FB06F2" w14:textId="7BC76454"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En el Plan de Preparación del Sector Defensa  se ha señalado que se viene capacitando en GRD a las personas de los tres componentes de las</w:t>
      </w:r>
      <w:r>
        <w:rPr>
          <w:rFonts w:ascii="Times New Roman" w:eastAsia="Times New Roman" w:hAnsi="Times New Roman" w:cs="Times New Roman"/>
          <w:color w:val="000000"/>
        </w:rPr>
        <w:t xml:space="preserve"> </w:t>
      </w:r>
      <w:r w:rsidRPr="00C8002F">
        <w:rPr>
          <w:rFonts w:ascii="Times New Roman" w:eastAsia="Times New Roman" w:hAnsi="Times New Roman" w:cs="Times New Roman"/>
          <w:color w:val="000000"/>
        </w:rPr>
        <w:t xml:space="preserve">FFAA </w:t>
      </w:r>
      <w:r w:rsidRPr="00C8002F">
        <w:rPr>
          <w:rFonts w:ascii="Times New Roman" w:eastAsia="Times New Roman" w:hAnsi="Times New Roman" w:cs="Times New Roman"/>
          <w:color w:val="000000"/>
        </w:rPr>
        <w:lastRenderedPageBreak/>
        <w:t>dirigido a los Oficiales de las IIAA, Suboficiales y Oficiales de Mar y la PTSMV, quienes se les imparte en su malla curricular contenidos que se refieren a los sietes procesos donde se incluye los tres procesos (reducción, preparación y respuesta) que se analiza en la presente investigación.</w:t>
      </w:r>
    </w:p>
    <w:p w14:paraId="4EEE0212" w14:textId="5E13525B"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Aunque se ha avanzado elaborando los planes de gestión reactiva aún falta por desarrollar a nivel sectorial el Plan de Operaciones de Emergencia del Sector Defensa y el Plan de Continuidad Operativa del MINDEF tal como se señala en la Directiva General N°021-2020-DE/SG.</w:t>
      </w:r>
    </w:p>
    <w:p w14:paraId="6E24BA6C" w14:textId="1229CA21"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El Centro de Operaciones de Emergencia del Ministerio de Defensa (COES-MINDEF) es un órgano del Ministerio de Defensa, cuya jefatura recae en el ministro de Defensa, está constituido de acuerdo a los “Lineamientos para la Organización y Funcionamiento de los Centros de Operaciones de Emergencia” aprobados por RM Nº 059-2015-PCM que se ha derogado y modificado por la Resolución Ministerial N° 258-2021-PCM denominado “Lineamientos para la organización y funcionamiento de los Centros de Operaciones de Emergencia - COE”</w:t>
      </w:r>
    </w:p>
    <w:p w14:paraId="683C0883" w14:textId="093998D7"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El COES-MINDEF tiene como función el monitoreo y seguimiento de manera continua de emergencias, desastres y/o peligro inminente; así como, el procesamiento e intercambio de información antes, durante y después del desarrollo de tales eventos para una adecuada toma de decisiones, proporcionando información disponible que requiera la autoridad encargada de conducir o monitorear emergencias a nivel nacional (COEN).</w:t>
      </w:r>
    </w:p>
    <w:p w14:paraId="01A93678" w14:textId="2E2B48BC"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El Centro de Operaciones de Emergencia Sectorial del Ministerio de Defensa, elabora el Reporte de Alerta y Avisos (RAA)y recibe los Reportes de Daños y Requerimientos (RDR) y Reportes de Acciones Militares (RAM) del Sector Defensa.</w:t>
      </w:r>
    </w:p>
    <w:p w14:paraId="4D9219E8" w14:textId="7D2DD67D"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Asimismo, detalla los procedimientos para la emisión de los Reportes de Acciones Militares (RAM) (preliminar y complementario), emitido por los órganos ejecutores y el Reporte de Daños y Requerimientos (RDR) (preliminar y complementario) emitido por el órgano rector, los órganos ejecutores, organismos públicos y empresas del Sector Defensa al Centro de Operaciones</w:t>
      </w:r>
      <w:r>
        <w:rPr>
          <w:rFonts w:ascii="Times New Roman" w:eastAsia="Times New Roman" w:hAnsi="Times New Roman" w:cs="Times New Roman"/>
          <w:color w:val="000000"/>
        </w:rPr>
        <w:t xml:space="preserve"> </w:t>
      </w:r>
      <w:r w:rsidRPr="00C8002F">
        <w:rPr>
          <w:rFonts w:ascii="Times New Roman" w:eastAsia="Times New Roman" w:hAnsi="Times New Roman" w:cs="Times New Roman"/>
          <w:color w:val="000000"/>
        </w:rPr>
        <w:lastRenderedPageBreak/>
        <w:t>de Emergencias Sectorial del Ministerio de Defensa, de acuerdo a las figuras 2, 3 y 4 del Anexo N° 6 y a través de los canales de comunicación establecidos, detallados en el Anexo N° 7 del presente plan.</w:t>
      </w:r>
    </w:p>
    <w:p w14:paraId="628A647B" w14:textId="00AD9612" w:rsidR="00C8002F" w:rsidRDefault="00C8002F" w:rsidP="00AE7165">
      <w:pPr>
        <w:pBdr>
          <w:top w:val="nil"/>
          <w:left w:val="nil"/>
          <w:bottom w:val="nil"/>
          <w:right w:val="nil"/>
          <w:between w:val="nil"/>
        </w:pBdr>
        <w:tabs>
          <w:tab w:val="left" w:pos="8222"/>
        </w:tabs>
        <w:spacing w:after="80"/>
        <w:ind w:left="425" w:firstLine="567"/>
        <w:jc w:val="both"/>
        <w:rPr>
          <w:rFonts w:ascii="Times New Roman" w:eastAsia="Times New Roman" w:hAnsi="Times New Roman" w:cs="Times New Roman"/>
          <w:color w:val="000000"/>
        </w:rPr>
      </w:pPr>
      <w:r w:rsidRPr="00C8002F">
        <w:rPr>
          <w:rFonts w:ascii="Times New Roman" w:eastAsia="Times New Roman" w:hAnsi="Times New Roman" w:cs="Times New Roman"/>
          <w:color w:val="000000"/>
        </w:rPr>
        <w:t>Es importante también señalar que en el Sector Defensa se encuentran entidades científicas técnicas quienes en base a sus competencias brindan información que permite elaborar cartas de inundación, cartografía, fotografía e imágenes satélites. A continuación, se señalan las principales acciones que realizan:</w:t>
      </w:r>
    </w:p>
    <w:p w14:paraId="1AF5060D" w14:textId="77777777" w:rsidR="00107B4F" w:rsidRPr="00341D70" w:rsidRDefault="00107B4F" w:rsidP="00107B4F">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341D70">
        <w:rPr>
          <w:rFonts w:ascii="Times New Roman" w:eastAsia="Times New Roman" w:hAnsi="Times New Roman" w:cs="Times New Roman"/>
          <w:color w:val="000000"/>
        </w:rPr>
        <w:t>Comisión Nacional de Investigación y Desarrollo Aeroespacial (CONIDA); generación de las imágenes satelitales de alta resolución</w:t>
      </w:r>
    </w:p>
    <w:p w14:paraId="44F5DA1E" w14:textId="77777777" w:rsidR="00107B4F" w:rsidRPr="00341D70" w:rsidRDefault="00107B4F" w:rsidP="00107B4F">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341D70">
        <w:rPr>
          <w:rFonts w:ascii="Times New Roman" w:eastAsia="Times New Roman" w:hAnsi="Times New Roman" w:cs="Times New Roman"/>
          <w:color w:val="000000"/>
        </w:rPr>
        <w:t>Dirección de Hidrografía y Navegación (DIHIDRONAV): elaboración de cartas de inundación por tsunami en la costa del Perú.</w:t>
      </w:r>
    </w:p>
    <w:p w14:paraId="26BD8FFC" w14:textId="6F919F59" w:rsidR="00107B4F" w:rsidRPr="00341D70" w:rsidRDefault="00107B4F" w:rsidP="00107B4F">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341D70">
        <w:rPr>
          <w:rFonts w:ascii="Times New Roman" w:eastAsia="Times New Roman" w:hAnsi="Times New Roman" w:cs="Times New Roman"/>
          <w:color w:val="000000"/>
        </w:rPr>
        <w:t xml:space="preserve">Instituto Geográfico Nacional (IGN): </w:t>
      </w:r>
      <w:r w:rsidR="00C8002F">
        <w:rPr>
          <w:rFonts w:ascii="Times New Roman" w:eastAsia="Times New Roman" w:hAnsi="Times New Roman" w:cs="Times New Roman"/>
          <w:color w:val="000000"/>
        </w:rPr>
        <w:t>C</w:t>
      </w:r>
      <w:r w:rsidRPr="00341D70">
        <w:rPr>
          <w:rFonts w:ascii="Times New Roman" w:eastAsia="Times New Roman" w:hAnsi="Times New Roman" w:cs="Times New Roman"/>
          <w:color w:val="000000"/>
        </w:rPr>
        <w:t>artografía básica a nivel nacional.</w:t>
      </w:r>
    </w:p>
    <w:p w14:paraId="51497D47" w14:textId="19D906F7" w:rsidR="00107B4F" w:rsidRDefault="00107B4F" w:rsidP="00107B4F">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341D70">
        <w:rPr>
          <w:rFonts w:ascii="Times New Roman" w:eastAsia="Times New Roman" w:hAnsi="Times New Roman" w:cs="Times New Roman"/>
          <w:color w:val="000000"/>
        </w:rPr>
        <w:t>Centro de Vigilancia Amazónic</w:t>
      </w:r>
      <w:r>
        <w:rPr>
          <w:rFonts w:ascii="Times New Roman" w:eastAsia="Times New Roman" w:hAnsi="Times New Roman" w:cs="Times New Roman"/>
          <w:color w:val="000000"/>
        </w:rPr>
        <w:t xml:space="preserve">o y Nacional (CEVAN): </w:t>
      </w:r>
      <w:r w:rsidR="00C8002F">
        <w:rPr>
          <w:rFonts w:ascii="Times New Roman" w:eastAsia="Times New Roman" w:hAnsi="Times New Roman" w:cs="Times New Roman"/>
          <w:color w:val="000000"/>
        </w:rPr>
        <w:t>F</w:t>
      </w:r>
      <w:r>
        <w:rPr>
          <w:rFonts w:ascii="Times New Roman" w:eastAsia="Times New Roman" w:hAnsi="Times New Roman" w:cs="Times New Roman"/>
          <w:color w:val="000000"/>
        </w:rPr>
        <w:t>otografías satelitales georreferenciadas.</w:t>
      </w:r>
    </w:p>
    <w:p w14:paraId="0B57F89E" w14:textId="5C361305" w:rsidR="00107B4F" w:rsidRPr="00107B4F" w:rsidRDefault="00107B4F" w:rsidP="00107B4F">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Dirección de Vigilancia y Reconocimiento Aéreo (DIVRA): </w:t>
      </w:r>
      <w:r w:rsidR="00C8002F">
        <w:rPr>
          <w:rFonts w:ascii="Times New Roman" w:eastAsia="Times New Roman" w:hAnsi="Times New Roman" w:cs="Times New Roman"/>
          <w:color w:val="000000"/>
        </w:rPr>
        <w:t>F</w:t>
      </w:r>
      <w:r>
        <w:rPr>
          <w:rFonts w:ascii="Times New Roman" w:eastAsia="Times New Roman" w:hAnsi="Times New Roman" w:cs="Times New Roman"/>
          <w:color w:val="000000"/>
        </w:rPr>
        <w:t>otografías aéreas georreferenciadas.</w:t>
      </w:r>
    </w:p>
    <w:p w14:paraId="046D9498" w14:textId="37C5C434" w:rsidR="00F87DC9" w:rsidRDefault="003F3EEB" w:rsidP="00F87DC9">
      <w:pPr>
        <w:tabs>
          <w:tab w:val="left" w:pos="8222"/>
        </w:tabs>
        <w:spacing w:after="200"/>
        <w:jc w:val="both"/>
        <w:rPr>
          <w:rFonts w:ascii="Times New Roman" w:eastAsia="Times New Roman" w:hAnsi="Times New Roman" w:cs="Times New Roman"/>
          <w:b/>
        </w:rPr>
      </w:pPr>
      <w:bookmarkStart w:id="90" w:name="_2mn7vak" w:colFirst="0" w:colLast="0"/>
      <w:bookmarkEnd w:id="90"/>
      <w:r>
        <w:rPr>
          <w:rFonts w:ascii="Times New Roman" w:eastAsia="Times New Roman" w:hAnsi="Times New Roman" w:cs="Times New Roman"/>
          <w:b/>
        </w:rPr>
        <w:t>2.4. Marco conceptual</w:t>
      </w:r>
    </w:p>
    <w:p w14:paraId="3904E219" w14:textId="1D3E9CF5" w:rsidR="00201A3D" w:rsidRPr="00F87DC9" w:rsidRDefault="00201A3D" w:rsidP="00F87DC9">
      <w:pPr>
        <w:tabs>
          <w:tab w:val="left" w:pos="8222"/>
        </w:tabs>
        <w:spacing w:after="200"/>
        <w:jc w:val="both"/>
        <w:rPr>
          <w:rFonts w:ascii="Times New Roman" w:eastAsia="Times New Roman" w:hAnsi="Times New Roman" w:cs="Times New Roman"/>
          <w:b/>
        </w:rPr>
      </w:pPr>
      <w:r>
        <w:rPr>
          <w:rFonts w:ascii="Times New Roman" w:eastAsia="Times New Roman" w:hAnsi="Times New Roman" w:cs="Times New Roman"/>
          <w:b/>
        </w:rPr>
        <w:t xml:space="preserve">La </w:t>
      </w:r>
      <w:r w:rsidR="00C8002F" w:rsidRPr="00C8002F">
        <w:rPr>
          <w:rFonts w:ascii="Times New Roman" w:eastAsia="Times New Roman" w:hAnsi="Times New Roman" w:cs="Times New Roman"/>
          <w:b/>
        </w:rPr>
        <w:t>Gestión del riesgo de desastres</w:t>
      </w:r>
    </w:p>
    <w:p w14:paraId="08121D3A" w14:textId="0CDCEFB4" w:rsidR="00F87DC9" w:rsidRPr="00201A3D" w:rsidRDefault="00F87DC9" w:rsidP="005B32B2">
      <w:pPr>
        <w:ind w:firstLine="426"/>
        <w:rPr>
          <w:rFonts w:ascii="Times New Roman" w:hAnsi="Times New Roman" w:cs="Times New Roman"/>
          <w:b/>
        </w:rPr>
      </w:pPr>
      <w:r w:rsidRPr="00201A3D">
        <w:rPr>
          <w:rFonts w:ascii="Times New Roman" w:hAnsi="Times New Roman" w:cs="Times New Roman"/>
          <w:b/>
        </w:rPr>
        <w:t xml:space="preserve">Del </w:t>
      </w:r>
      <w:r w:rsidR="00C8002F" w:rsidRPr="00C8002F">
        <w:rPr>
          <w:rFonts w:ascii="Times New Roman" w:hAnsi="Times New Roman" w:cs="Times New Roman"/>
          <w:b/>
        </w:rPr>
        <w:t>desastre a la construcción del riesgo</w:t>
      </w:r>
    </w:p>
    <w:p w14:paraId="3F3DFFDA" w14:textId="2B60E566" w:rsidR="00F87DC9" w:rsidRDefault="00C8002F" w:rsidP="00F87DC9">
      <w:pPr>
        <w:pStyle w:val="NormalWeb"/>
        <w:spacing w:after="0"/>
        <w:ind w:left="426" w:firstLine="567"/>
        <w:jc w:val="both"/>
        <w:rPr>
          <w:lang w:val="es-ES_tradnl"/>
        </w:rPr>
      </w:pPr>
      <w:r w:rsidRPr="00C8002F">
        <w:rPr>
          <w:lang w:val="es-ES_tradnl"/>
        </w:rPr>
        <w:t>Los desastres van en aumento» es una frase que se repite en diversas investigaciones y se palpa en las cifras que se recoge en diversos informes, como el de la aseguradora británica Aon señala que solo en el año 2016 se presentaron 315 desastres generando pérdidas por un valor de 210 mil millones de dólares. (The Economist-2017). En la misma línea el Informe de las Naciones Unidas de GAR 2015 señala que, en el caso de varios países de la región de las Américas, las pérdidas por desastres son cada vez mayores, y llegan a representar anualmente un porcentaje significativo de su</w:t>
      </w:r>
      <w:r w:rsidRPr="00C8002F">
        <w:t xml:space="preserve"> </w:t>
      </w:r>
      <w:r w:rsidRPr="00C8002F">
        <w:rPr>
          <w:lang w:val="es-ES_tradnl"/>
        </w:rPr>
        <w:t xml:space="preserve">producto interno bruto y un porcentaje más alto si se compara estas pérdidas con las </w:t>
      </w:r>
      <w:r w:rsidRPr="00C8002F">
        <w:rPr>
          <w:lang w:val="es-ES_tradnl"/>
        </w:rPr>
        <w:lastRenderedPageBreak/>
        <w:t>cifras del gasto social que realizan, llegando en algunos casos a representar entre el 30 y 50 porciento de dicho gasto. (Global Assessment Report on Disaster Risk Reduction, 2015).</w:t>
      </w:r>
    </w:p>
    <w:p w14:paraId="6B20291C" w14:textId="77777777" w:rsidR="00F87DC9" w:rsidRDefault="00F87DC9" w:rsidP="00F87DC9">
      <w:pPr>
        <w:pStyle w:val="NormalWeb"/>
        <w:spacing w:after="0"/>
        <w:ind w:left="426" w:firstLine="567"/>
        <w:jc w:val="both"/>
        <w:rPr>
          <w:lang w:val="es-ES_tradnl"/>
        </w:rPr>
      </w:pPr>
    </w:p>
    <w:p w14:paraId="72DFCB33" w14:textId="15D62940" w:rsidR="00F87DC9" w:rsidRPr="00C8002F" w:rsidRDefault="00C8002F" w:rsidP="009F7E14">
      <w:pPr>
        <w:pStyle w:val="NormalWeb"/>
        <w:spacing w:after="0"/>
        <w:ind w:left="426" w:firstLine="567"/>
        <w:jc w:val="both"/>
        <w:rPr>
          <w:sz w:val="32"/>
          <w:lang w:val="es-ES_tradnl"/>
        </w:rPr>
      </w:pPr>
      <w:r w:rsidRPr="00C8002F">
        <w:rPr>
          <w:color w:val="000000"/>
          <w:szCs w:val="20"/>
          <w:shd w:val="clear" w:color="auto" w:fill="FFFFFF"/>
        </w:rPr>
        <w:t xml:space="preserve">Pero para analizar el desastre es necesario definir el término de la palabra </w:t>
      </w:r>
      <w:r w:rsidRPr="00C8002F">
        <w:rPr>
          <w:b/>
          <w:color w:val="000000"/>
          <w:szCs w:val="20"/>
          <w:shd w:val="clear" w:color="auto" w:fill="FFFFFF"/>
        </w:rPr>
        <w:t>Desastre</w:t>
      </w:r>
      <w:r w:rsidRPr="00C8002F">
        <w:rPr>
          <w:color w:val="000000"/>
          <w:szCs w:val="20"/>
          <w:shd w:val="clear" w:color="auto" w:fill="FFFFFF"/>
        </w:rPr>
        <w:t xml:space="preserve"> que se recoge en la investigación “</w:t>
      </w:r>
      <w:r w:rsidR="00230AE9" w:rsidRPr="00C8002F">
        <w:rPr>
          <w:color w:val="000000"/>
          <w:szCs w:val="20"/>
          <w:shd w:val="clear" w:color="auto" w:fill="FFFFFF"/>
        </w:rPr>
        <w:t>Mitiga</w:t>
      </w:r>
      <w:r w:rsidR="00230AE9">
        <w:rPr>
          <w:color w:val="000000"/>
          <w:szCs w:val="20"/>
          <w:shd w:val="clear" w:color="auto" w:fill="FFFFFF"/>
        </w:rPr>
        <w:t>c</w:t>
      </w:r>
      <w:r w:rsidR="00230AE9" w:rsidRPr="00C8002F">
        <w:rPr>
          <w:color w:val="000000"/>
          <w:szCs w:val="20"/>
          <w:shd w:val="clear" w:color="auto" w:fill="FFFFFF"/>
        </w:rPr>
        <w:t>ión</w:t>
      </w:r>
      <w:r w:rsidRPr="00C8002F">
        <w:rPr>
          <w:color w:val="000000"/>
          <w:szCs w:val="20"/>
          <w:shd w:val="clear" w:color="auto" w:fill="FFFFFF"/>
        </w:rPr>
        <w:t xml:space="preserve"> de Desastres en las Instalaciones de la Salud - Volumen 3 : Aspectos de Arquitectura” como un evento o suceso que ocurre, en la mayoría de los casos, en forma repentina e inesperada, causando sobre los elementos sometidos alteraciones intensas, representadas en la pérdida de vida y salud de la población, la destrucción o pérdida de los bienes de una colectividad y/o daños severos sobre el medio ambiente. Los desastres pueden ser originados por tres tipos: (Mitigación de Desastres en las instalaciones de Salud, 1993):</w:t>
      </w:r>
    </w:p>
    <w:p w14:paraId="6F09050C" w14:textId="255043F4" w:rsidR="00F87DC9" w:rsidRDefault="00F87DC9" w:rsidP="00F87DC9">
      <w:pPr>
        <w:pStyle w:val="NormalWeb"/>
        <w:spacing w:after="0"/>
        <w:ind w:left="426" w:firstLine="567"/>
        <w:jc w:val="both"/>
        <w:rPr>
          <w:lang w:val="es-ES_tradnl"/>
        </w:rPr>
      </w:pPr>
    </w:p>
    <w:p w14:paraId="3C8434F8" w14:textId="5396EB4C"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Desastres de origen natural: Se incluye los Terremotos, Tsunamis, Erupciones volcánicas, Huracanes, Inundaciones, etc. Alguno de estos tipos de desastres son amenazas que difícilmente se pueden neutralizar, ya que difícilmente su origen puede ser controlado, aún en ciertos casos son controlados de manera parcial mediante obras estructurales y civiles. (Mitigación de Desastres en las instalaciones de Salud, 1993)</w:t>
      </w:r>
    </w:p>
    <w:p w14:paraId="36F0D979" w14:textId="77777777"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Desastres de origen antrópico: Estos pueden ser causados de forma intencional por obra humana o por fallas técnicas, lo cual pueden liberar un desastre de gran impacto. Uno de los desastres antrópicos más frecuentes son las guerras (terrorismo), incendios, accidentes, explosiones, contaminación y la deforestación (Mitigación de Desastres en las instalaciones de Salud, 1993).</w:t>
      </w:r>
    </w:p>
    <w:p w14:paraId="7F890421" w14:textId="1F75864D"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Desastres de origen tecnológico. Actualmente, los puertos y zonas urbanas son susceptibles a que se vean afectados por este tipo de desastres, a causa de la elevada densificación de la industria, las</w:t>
      </w:r>
      <w:r>
        <w:rPr>
          <w:rFonts w:ascii="Times New Roman" w:eastAsia="Times New Roman" w:hAnsi="Times New Roman" w:cs="Times New Roman"/>
          <w:color w:val="000000"/>
        </w:rPr>
        <w:t xml:space="preserve"> </w:t>
      </w:r>
      <w:r w:rsidRPr="00AD6CBD">
        <w:rPr>
          <w:rFonts w:ascii="Times New Roman" w:eastAsia="Times New Roman" w:hAnsi="Times New Roman" w:cs="Times New Roman"/>
          <w:color w:val="000000"/>
        </w:rPr>
        <w:t>edificaciones y el transporte masivo de carga y población. (Mitigación de Desastres en las instalaciones de Salud, 1993)</w:t>
      </w:r>
    </w:p>
    <w:p w14:paraId="046CA9B4" w14:textId="1C3DE680" w:rsidR="00AD6CBD" w:rsidRDefault="00AD6CBD" w:rsidP="004C42A2">
      <w:pPr>
        <w:pStyle w:val="NormalWeb"/>
        <w:ind w:left="426" w:firstLine="567"/>
        <w:jc w:val="both"/>
        <w:rPr>
          <w:lang w:val="es-ES_tradnl"/>
        </w:rPr>
      </w:pPr>
      <w:r w:rsidRPr="00AD6CBD">
        <w:rPr>
          <w:lang w:val="es-ES_tradnl"/>
        </w:rPr>
        <w:lastRenderedPageBreak/>
        <w:t xml:space="preserve">Alineado a las definición de desastre el Reglamento de la Ley </w:t>
      </w:r>
      <w:r w:rsidR="00230AE9">
        <w:rPr>
          <w:lang w:val="es-ES_tradnl"/>
        </w:rPr>
        <w:t>N°</w:t>
      </w:r>
      <w:r w:rsidRPr="00AD6CBD">
        <w:rPr>
          <w:lang w:val="es-ES_tradnl"/>
        </w:rPr>
        <w:t>29664 ha definido en el artículo 2 la definición del Desastre que lo señala como un conjunto de daños y pérdidas, en la salud, fuentes de sustento, hábitat físico, infraestructura, actividad económica y medio ambiente, que ocurre a consecuencia del impacto de un peligro o amenaza cuya intensidad genera graves alteraciones en el funcionamiento de las unidades sociales, sobrepasando la capacidad de respuesta local para atender eficazmente sus consecuencias, pudiendo ser de origen natural o inducido por la acción humana (Ley N°29664, 2012).</w:t>
      </w:r>
    </w:p>
    <w:p w14:paraId="248B969F" w14:textId="16EE19D7" w:rsidR="003010B1" w:rsidRDefault="00AD6CBD" w:rsidP="003010B1">
      <w:pPr>
        <w:pStyle w:val="NormalWeb"/>
        <w:ind w:left="426" w:firstLine="567"/>
        <w:jc w:val="both"/>
        <w:rPr>
          <w:lang w:val="es-ES"/>
        </w:rPr>
      </w:pPr>
      <w:r w:rsidRPr="00AD6CBD">
        <w:rPr>
          <w:lang w:val="es-ES"/>
        </w:rPr>
        <w:t>Adicionalmente la UNDRO (United Nations Disaster Relief Organization, en sus siglas en ingles) en conjunto con la UNESCO (United Nations Educational, Scientific and Cultural Organization en sus siglas en inglés) promovió una reunión de expertos con el fin de proponer una unificación de definiciones que ha sido ampliamente aceptada en los últimos años en relación a la amenaza, vulnerabilidad y el riesgo que se describe a continuación: (Omar Darío Cardona, 1993).</w:t>
      </w:r>
    </w:p>
    <w:p w14:paraId="6B561741" w14:textId="6E3674EF" w:rsidR="00F87DC9" w:rsidRPr="004C42A2" w:rsidRDefault="00F87DC9" w:rsidP="003010B1">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4C42A2">
        <w:rPr>
          <w:rFonts w:ascii="Times New Roman" w:hAnsi="Times New Roman" w:cs="Times New Roman"/>
          <w:b/>
          <w:bCs/>
          <w:lang w:val="es-ES_tradnl"/>
        </w:rPr>
        <w:t>Amenaza o peligro (Hazard - H),</w:t>
      </w:r>
      <w:r w:rsidRPr="004C42A2">
        <w:rPr>
          <w:rFonts w:ascii="Times New Roman" w:hAnsi="Times New Roman" w:cs="Times New Roman"/>
          <w:lang w:val="es-ES_tradnl"/>
        </w:rPr>
        <w:t xml:space="preserve"> </w:t>
      </w:r>
      <w:r w:rsidR="00AD6CBD" w:rsidRPr="00AD6CBD">
        <w:rPr>
          <w:rFonts w:ascii="Times New Roman" w:hAnsi="Times New Roman" w:cs="Times New Roman"/>
          <w:lang w:val="es-ES_tradnl"/>
        </w:rPr>
        <w:t>conceptualizada como la posibilidad de que ocurra un evento potencial</w:t>
      </w:r>
      <w:r w:rsidR="00230AE9">
        <w:rPr>
          <w:rFonts w:ascii="Times New Roman" w:hAnsi="Times New Roman" w:cs="Times New Roman"/>
          <w:lang w:val="es-ES_tradnl"/>
        </w:rPr>
        <w:t>mente</w:t>
      </w:r>
      <w:r w:rsidR="00AD6CBD" w:rsidRPr="00AD6CBD">
        <w:rPr>
          <w:rFonts w:ascii="Times New Roman" w:hAnsi="Times New Roman" w:cs="Times New Roman"/>
          <w:lang w:val="es-ES_tradnl"/>
        </w:rPr>
        <w:t xml:space="preserve"> desastroso en cierto periodo de tiempo y en un área en específico.</w:t>
      </w:r>
    </w:p>
    <w:p w14:paraId="60C70110" w14:textId="75FA7B88" w:rsidR="00F87DC9" w:rsidRPr="009D3422" w:rsidRDefault="00F87DC9" w:rsidP="009D3422">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4C42A2">
        <w:rPr>
          <w:rFonts w:ascii="Times New Roman" w:hAnsi="Times New Roman" w:cs="Times New Roman"/>
          <w:b/>
          <w:bCs/>
          <w:lang w:val="es-ES_tradnl"/>
        </w:rPr>
        <w:t>Vulnerabilidad (V),</w:t>
      </w:r>
      <w:r w:rsidRPr="004C42A2">
        <w:rPr>
          <w:rFonts w:ascii="Times New Roman" w:hAnsi="Times New Roman" w:cs="Times New Roman"/>
          <w:lang w:val="es-ES_tradnl"/>
        </w:rPr>
        <w:t xml:space="preserve"> </w:t>
      </w:r>
      <w:r w:rsidR="00AD6CBD" w:rsidRPr="00AD6CBD">
        <w:rPr>
          <w:rFonts w:ascii="Times New Roman" w:hAnsi="Times New Roman" w:cs="Times New Roman"/>
          <w:lang w:val="es-ES_tradnl"/>
        </w:rPr>
        <w:t>comprendida como el nivel de pérdida de elementos o conjunto de elementos bajo riesgo resultado de la posible ocurrencia de un desastre, indicada en un rango que inicia de 0 o sin daño a 1 o pérdida total.</w:t>
      </w:r>
    </w:p>
    <w:p w14:paraId="4D80A4BE" w14:textId="03C9DF6A" w:rsidR="00F87DC9" w:rsidRPr="00E462FD" w:rsidRDefault="00F87DC9" w:rsidP="00E462F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4C42A2">
        <w:rPr>
          <w:rFonts w:ascii="Times New Roman" w:hAnsi="Times New Roman" w:cs="Times New Roman"/>
          <w:b/>
          <w:bCs/>
          <w:lang w:val="es-ES_tradnl"/>
        </w:rPr>
        <w:t>Riesgo Específico (Specific Risk - Rs),</w:t>
      </w:r>
      <w:r w:rsidRPr="004C42A2">
        <w:rPr>
          <w:rFonts w:ascii="Times New Roman" w:hAnsi="Times New Roman" w:cs="Times New Roman"/>
          <w:lang w:val="es-ES_tradnl"/>
        </w:rPr>
        <w:t xml:space="preserve"> </w:t>
      </w:r>
      <w:r w:rsidR="00AD6CBD" w:rsidRPr="00AD6CBD">
        <w:rPr>
          <w:rFonts w:ascii="Times New Roman" w:hAnsi="Times New Roman" w:cs="Times New Roman"/>
          <w:lang w:val="es-ES_tradnl"/>
        </w:rPr>
        <w:t>entendida como el nivel de pérdidas esperada a causa de la ocurrencia de un desastre y como una función de la vulnerabilidad y la amenaza.</w:t>
      </w:r>
    </w:p>
    <w:p w14:paraId="7BB0DBC7" w14:textId="00E66060" w:rsidR="00AD6CBD" w:rsidRPr="00AD6CBD" w:rsidRDefault="00F87DC9"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b/>
          <w:bCs/>
          <w:lang w:val="es-ES_tradnl"/>
        </w:rPr>
        <w:t>Elementos Bajo Riesgo (E),</w:t>
      </w:r>
      <w:r w:rsidR="00E462FD" w:rsidRPr="00AD6CBD">
        <w:rPr>
          <w:rFonts w:ascii="Times New Roman" w:hAnsi="Times New Roman" w:cs="Times New Roman"/>
          <w:lang w:val="es-ES_tradnl"/>
        </w:rPr>
        <w:t xml:space="preserve"> </w:t>
      </w:r>
      <w:r w:rsidR="00AD6CBD" w:rsidRPr="00AD6CBD">
        <w:rPr>
          <w:rFonts w:ascii="Times New Roman" w:hAnsi="Times New Roman" w:cs="Times New Roman"/>
          <w:lang w:val="es-ES_tradnl"/>
        </w:rPr>
        <w:t>en ella se hace referencia a la edificación, población, actividades económicas, obras civiles,</w:t>
      </w:r>
      <w:r w:rsidR="00AD6CBD">
        <w:rPr>
          <w:rFonts w:ascii="Times New Roman" w:hAnsi="Times New Roman" w:cs="Times New Roman"/>
          <w:lang w:val="es-ES_tradnl"/>
        </w:rPr>
        <w:t xml:space="preserve"> </w:t>
      </w:r>
      <w:r w:rsidR="00AD6CBD" w:rsidRPr="00AD6CBD">
        <w:rPr>
          <w:rFonts w:ascii="Times New Roman" w:hAnsi="Times New Roman" w:cs="Times New Roman"/>
          <w:lang w:val="es-ES_tradnl"/>
        </w:rPr>
        <w:t>utilidades e infraestructura que estaría expuesta en una zona específica.</w:t>
      </w:r>
    </w:p>
    <w:p w14:paraId="4CC48330" w14:textId="6FC8E398" w:rsidR="00F87DC9" w:rsidRPr="00AD6CBD" w:rsidRDefault="00F87DC9" w:rsidP="002D22AA">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b/>
          <w:bCs/>
          <w:lang w:val="es-ES_tradnl"/>
        </w:rPr>
        <w:lastRenderedPageBreak/>
        <w:t>Riesgo Total (Total Risk - Rt),</w:t>
      </w:r>
      <w:r w:rsidRPr="00AD6CBD">
        <w:rPr>
          <w:rFonts w:ascii="Times New Roman" w:hAnsi="Times New Roman" w:cs="Times New Roman"/>
          <w:lang w:val="es-ES_tradnl"/>
        </w:rPr>
        <w:t xml:space="preserve"> </w:t>
      </w:r>
      <w:r w:rsidR="00AD6CBD" w:rsidRPr="00AD6CBD">
        <w:rPr>
          <w:rFonts w:ascii="Times New Roman" w:hAnsi="Times New Roman" w:cs="Times New Roman"/>
          <w:lang w:val="es-ES_tradnl"/>
        </w:rPr>
        <w:t>entendida como la posible cifra de pérdidas de vida humanas, heridos, perjuicios a los bienes y efectos sobre las actividades económicas a causa de la ocurrencia del desastre.</w:t>
      </w:r>
    </w:p>
    <w:p w14:paraId="29E998C3" w14:textId="39D87B13" w:rsidR="00F87DC9" w:rsidRDefault="00AD6CBD" w:rsidP="00201A3D">
      <w:pPr>
        <w:pStyle w:val="NormalWeb"/>
        <w:shd w:val="clear" w:color="auto" w:fill="FFFFFF"/>
        <w:ind w:left="426" w:firstLine="567"/>
        <w:jc w:val="both"/>
        <w:rPr>
          <w:lang w:val="es-ES_tradnl"/>
        </w:rPr>
      </w:pPr>
      <w:r w:rsidRPr="00AD6CBD">
        <w:rPr>
          <w:lang w:val="es-ES_tradnl"/>
        </w:rPr>
        <w:t>Usando los factores se definió como se construye el riesgo mediante la siguiente formula:</w:t>
      </w:r>
    </w:p>
    <w:p w14:paraId="01963FE5" w14:textId="77777777" w:rsidR="00F87DC9" w:rsidRPr="00AC227B" w:rsidRDefault="00F87DC9" w:rsidP="00F87DC9">
      <w:pPr>
        <w:pStyle w:val="NormalWeb"/>
        <w:shd w:val="clear" w:color="auto" w:fill="FFFFFF"/>
        <w:jc w:val="center"/>
        <w:rPr>
          <w:lang w:val="es-ES_tradnl"/>
        </w:rPr>
      </w:pPr>
      <w:r>
        <w:rPr>
          <w:lang w:val="es-ES_tradnl"/>
        </w:rPr>
        <w:t>[</w:t>
      </w:r>
      <w:r w:rsidRPr="00AC227B">
        <w:rPr>
          <w:lang w:val="es-ES_tradnl"/>
        </w:rPr>
        <w:t>Rt = (E)(Rs) = (E)(H . V)</w:t>
      </w:r>
      <w:r>
        <w:rPr>
          <w:lang w:val="es-ES_tradnl"/>
        </w:rPr>
        <w:t>]</w:t>
      </w:r>
    </w:p>
    <w:p w14:paraId="7C1DD981" w14:textId="64ACF1A8" w:rsidR="00F87DC9" w:rsidRPr="00AC227B" w:rsidRDefault="00AD6CBD" w:rsidP="00314397">
      <w:pPr>
        <w:pStyle w:val="NormalWeb"/>
        <w:shd w:val="clear" w:color="auto" w:fill="FFFFFF"/>
        <w:ind w:left="426" w:firstLine="567"/>
        <w:jc w:val="both"/>
        <w:rPr>
          <w:lang w:val="es-ES_tradnl"/>
        </w:rPr>
      </w:pPr>
      <w:r w:rsidRPr="00AD6CBD">
        <w:rPr>
          <w:lang w:val="es-ES_tradnl"/>
        </w:rPr>
        <w:t>En el año 1985, el Sr. Omar Darío Cardona, en el Instituto de Ingeniería Sísmica y Sismología – IZIIS, propuso eliminar la variable Exposición (E) por considerarla implícita en la Vulnerabilidad sin que esto modificara la concepción original. En base a este cambio se propuso como una nueva concepción de cómo se construye el riesgo donde: La amenaza o peligro es representado como Ai, comprendido como la posibilidad de que ocurra un suceso de intensidad superior o similar, durante un plazo de exposición t, y teniendo conocimiento la vulnerabilidad Ve, el cual es comprendida como una predisposición intrínseca que posee un elemento o sujeto expuesto a ser dañado o ser susceptible a su pérdida total ante el suceso de un episodio de desastre con una intensidad i; por otro lado, el riesgo Rie puede ser comprendido como la posibilidad de que se presente una pérdida de un elemento e, por el efecto del evento de desastre con una intensidad similar o superior a i (Cardona, Omar Darío Cardona , 1993). De hi se desprende la siguiente formula:</w:t>
      </w:r>
    </w:p>
    <w:p w14:paraId="22F18F6B" w14:textId="78A89F89" w:rsidR="00F87DC9" w:rsidRPr="00201A3D" w:rsidRDefault="00AD6CBD" w:rsidP="00201A3D">
      <w:pPr>
        <w:pBdr>
          <w:top w:val="nil"/>
          <w:left w:val="nil"/>
          <w:bottom w:val="nil"/>
          <w:right w:val="nil"/>
          <w:between w:val="nil"/>
        </w:pBdr>
        <w:tabs>
          <w:tab w:val="left" w:pos="8222"/>
        </w:tabs>
        <w:spacing w:after="200"/>
        <w:ind w:left="426" w:firstLine="567"/>
        <w:jc w:val="both"/>
        <w:rPr>
          <w:rFonts w:ascii="Times New Roman" w:hAnsi="Times New Roman" w:cs="Times New Roman"/>
          <w:lang w:val="es-ES_tradnl"/>
        </w:rPr>
      </w:pPr>
      <w:r w:rsidRPr="00AD6CBD">
        <w:rPr>
          <w:rFonts w:ascii="Times New Roman" w:hAnsi="Times New Roman" w:cs="Times New Roman"/>
          <w:lang w:val="es-ES_tradnl"/>
        </w:rPr>
        <w:t>En base a este análisis se construyó una nueva definición de los conceptos de amenaza o peligro, la vulnerabilidad y riesgo que se detallan:</w:t>
      </w:r>
    </w:p>
    <w:p w14:paraId="7884D0B0" w14:textId="57F4970B" w:rsidR="00AD6CBD" w:rsidRPr="00AD6CBD" w:rsidRDefault="00201A3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Pr>
          <w:rFonts w:ascii="Times New Roman" w:hAnsi="Times New Roman" w:cs="Times New Roman"/>
          <w:b/>
          <w:bCs/>
          <w:lang w:val="es-ES_tradnl"/>
        </w:rPr>
        <w:t xml:space="preserve">La </w:t>
      </w:r>
      <w:r w:rsidR="00AD6CBD" w:rsidRPr="00AD6CBD">
        <w:rPr>
          <w:rFonts w:ascii="Times New Roman" w:hAnsi="Times New Roman" w:cs="Times New Roman"/>
          <w:b/>
          <w:bCs/>
          <w:lang w:val="es-ES_tradnl"/>
        </w:rPr>
        <w:t>amenaza o peligro</w:t>
      </w:r>
      <w:r w:rsidR="00F87DC9" w:rsidRPr="00201A3D">
        <w:rPr>
          <w:rFonts w:ascii="Times New Roman" w:hAnsi="Times New Roman" w:cs="Times New Roman"/>
          <w:lang w:val="es-ES_tradnl"/>
        </w:rPr>
        <w:t xml:space="preserve">, </w:t>
      </w:r>
      <w:r w:rsidR="00AD6CBD" w:rsidRPr="00AD6CBD">
        <w:rPr>
          <w:rFonts w:ascii="Times New Roman" w:hAnsi="Times New Roman" w:cs="Times New Roman"/>
          <w:lang w:val="es-ES_tradnl"/>
        </w:rPr>
        <w:t>amenaza o peligro, o factor de riesgo externo de un sujeto o sistema, representado por un peligro latente asociado con un fenómeno físico de origen natural o tecnológico que puede</w:t>
      </w:r>
      <w:r w:rsidR="00AD6CBD">
        <w:rPr>
          <w:rFonts w:ascii="Times New Roman" w:hAnsi="Times New Roman" w:cs="Times New Roman"/>
          <w:lang w:val="es-ES_tradnl"/>
        </w:rPr>
        <w:t xml:space="preserve"> </w:t>
      </w:r>
      <w:r w:rsidR="00AD6CBD" w:rsidRPr="00AD6CBD">
        <w:rPr>
          <w:rFonts w:ascii="Times New Roman" w:hAnsi="Times New Roman" w:cs="Times New Roman"/>
          <w:lang w:val="es-ES_tradnl"/>
        </w:rPr>
        <w:t xml:space="preserve">presentarse en un sitio específico y en un tiempo determinado produciendo efectos adversos en las personas, los bienes y/o el medio ambiente, matemáticamente expresado como la probabilidad de </w:t>
      </w:r>
      <w:r w:rsidR="00AD6CBD" w:rsidRPr="00AD6CBD">
        <w:rPr>
          <w:rFonts w:ascii="Times New Roman" w:hAnsi="Times New Roman" w:cs="Times New Roman"/>
          <w:lang w:val="es-ES_tradnl"/>
        </w:rPr>
        <w:lastRenderedPageBreak/>
        <w:t>exceder un nivel de ocurrencia de un evento con una cierta intensidad en un cierto sitio y en cierto período de tiempo. (Omar Darío Cardona</w:t>
      </w:r>
    </w:p>
    <w:p w14:paraId="1A46E62D" w14:textId="77777777" w:rsidR="00AD6CBD" w:rsidRPr="00AD6CBD" w:rsidRDefault="00AD6CBD" w:rsidP="00AD6CBD">
      <w:pPr>
        <w:pStyle w:val="Prrafodelista"/>
        <w:pBdr>
          <w:top w:val="nil"/>
          <w:left w:val="nil"/>
          <w:bottom w:val="nil"/>
          <w:right w:val="nil"/>
          <w:between w:val="nil"/>
        </w:pBdr>
        <w:tabs>
          <w:tab w:val="left" w:pos="8222"/>
        </w:tabs>
        <w:spacing w:after="200"/>
        <w:ind w:left="1352"/>
        <w:jc w:val="both"/>
        <w:rPr>
          <w:rFonts w:ascii="Times New Roman" w:hAnsi="Times New Roman" w:cs="Times New Roman"/>
          <w:lang w:val="es-ES_tradnl"/>
        </w:rPr>
      </w:pPr>
      <w:r w:rsidRPr="00AD6CBD">
        <w:rPr>
          <w:rFonts w:ascii="Times New Roman" w:hAnsi="Times New Roman" w:cs="Times New Roman"/>
          <w:lang w:val="es-ES_tradnl"/>
        </w:rPr>
        <w:t>- 1993)</w:t>
      </w:r>
    </w:p>
    <w:p w14:paraId="2817AF93" w14:textId="3B48100F" w:rsidR="00F87DC9" w:rsidRPr="00201A3D" w:rsidRDefault="00F87DC9" w:rsidP="00AD6CBD">
      <w:pPr>
        <w:pStyle w:val="Prrafodelista"/>
        <w:pBdr>
          <w:top w:val="nil"/>
          <w:left w:val="nil"/>
          <w:bottom w:val="nil"/>
          <w:right w:val="nil"/>
          <w:between w:val="nil"/>
        </w:pBdr>
        <w:tabs>
          <w:tab w:val="left" w:pos="8222"/>
        </w:tabs>
        <w:spacing w:after="200"/>
        <w:ind w:left="1352"/>
        <w:jc w:val="both"/>
        <w:rPr>
          <w:rFonts w:ascii="Times New Roman" w:hAnsi="Times New Roman" w:cs="Times New Roman"/>
          <w:lang w:val="es-ES_tradnl"/>
        </w:rPr>
      </w:pPr>
    </w:p>
    <w:p w14:paraId="2FB75A9E" w14:textId="0AF511C1" w:rsidR="00F87DC9" w:rsidRPr="009A42F3" w:rsidRDefault="00201A3D" w:rsidP="009A42F3">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9A42F3">
        <w:rPr>
          <w:rFonts w:ascii="Times New Roman" w:hAnsi="Times New Roman" w:cs="Times New Roman"/>
          <w:b/>
          <w:bCs/>
          <w:lang w:val="es-ES_tradnl"/>
        </w:rPr>
        <w:t xml:space="preserve">La </w:t>
      </w:r>
      <w:r w:rsidR="00AD6CBD">
        <w:rPr>
          <w:rFonts w:ascii="Times New Roman" w:hAnsi="Times New Roman" w:cs="Times New Roman"/>
          <w:b/>
          <w:bCs/>
          <w:lang w:val="es-ES_tradnl"/>
        </w:rPr>
        <w:t>v</w:t>
      </w:r>
      <w:r w:rsidR="00F87DC9" w:rsidRPr="009A42F3">
        <w:rPr>
          <w:rFonts w:ascii="Times New Roman" w:hAnsi="Times New Roman" w:cs="Times New Roman"/>
          <w:b/>
          <w:bCs/>
          <w:lang w:val="es-ES_tradnl"/>
        </w:rPr>
        <w:t>ulnerabilidad</w:t>
      </w:r>
      <w:r w:rsidR="00F87DC9" w:rsidRPr="009A42F3">
        <w:rPr>
          <w:rFonts w:ascii="Times New Roman" w:hAnsi="Times New Roman" w:cs="Times New Roman"/>
          <w:lang w:val="es-ES_tradnl"/>
        </w:rPr>
        <w:t xml:space="preserve">, </w:t>
      </w:r>
      <w:r w:rsidR="00AD6CBD" w:rsidRPr="00AD6CBD">
        <w:rPr>
          <w:rFonts w:ascii="Times New Roman" w:hAnsi="Times New Roman" w:cs="Times New Roman"/>
          <w:lang w:val="es-ES_tradnl"/>
        </w:rPr>
        <w:t>concebida como la predisposición intrínseca de un elemento expuesto a ser dañado por causas externas y, por ello, su valoración representa una medida esencial para tener conocimiento sobre el riesgo a través de interacciones del elemento susceptible al entorno peligroso. (Omar Darío Cardona - 1993)</w:t>
      </w:r>
      <w:r w:rsidR="00AD6CBD">
        <w:rPr>
          <w:rFonts w:ascii="Times New Roman" w:hAnsi="Times New Roman" w:cs="Times New Roman"/>
          <w:lang w:val="es-ES_tradnl"/>
        </w:rPr>
        <w:t>.</w:t>
      </w:r>
    </w:p>
    <w:p w14:paraId="281C2C6D" w14:textId="3675BBFB" w:rsidR="00F87DC9" w:rsidRPr="00B71641" w:rsidRDefault="00F87DC9" w:rsidP="00201A3D">
      <w:pPr>
        <w:pStyle w:val="Prrafodelista"/>
        <w:numPr>
          <w:ilvl w:val="0"/>
          <w:numId w:val="23"/>
        </w:numPr>
        <w:pBdr>
          <w:top w:val="nil"/>
          <w:left w:val="nil"/>
          <w:bottom w:val="nil"/>
          <w:right w:val="nil"/>
          <w:between w:val="nil"/>
        </w:pBdr>
        <w:tabs>
          <w:tab w:val="left" w:pos="8222"/>
        </w:tabs>
        <w:spacing w:after="200"/>
        <w:jc w:val="both"/>
        <w:rPr>
          <w:lang w:val="fr-FR"/>
        </w:rPr>
      </w:pPr>
      <w:r w:rsidRPr="00201A3D">
        <w:rPr>
          <w:rFonts w:ascii="Times New Roman" w:hAnsi="Times New Roman" w:cs="Times New Roman"/>
          <w:b/>
          <w:bCs/>
          <w:lang w:val="es-ES_tradnl"/>
        </w:rPr>
        <w:t xml:space="preserve">El </w:t>
      </w:r>
      <w:r w:rsidR="00AD6CBD">
        <w:rPr>
          <w:rFonts w:ascii="Times New Roman" w:hAnsi="Times New Roman" w:cs="Times New Roman"/>
          <w:b/>
          <w:bCs/>
          <w:lang w:val="es-ES_tradnl"/>
        </w:rPr>
        <w:t>r</w:t>
      </w:r>
      <w:r w:rsidRPr="00201A3D">
        <w:rPr>
          <w:rFonts w:ascii="Times New Roman" w:hAnsi="Times New Roman" w:cs="Times New Roman"/>
          <w:b/>
          <w:bCs/>
          <w:lang w:val="es-ES_tradnl"/>
        </w:rPr>
        <w:t>iesgo</w:t>
      </w:r>
      <w:r w:rsidRPr="00201A3D">
        <w:rPr>
          <w:rFonts w:ascii="Times New Roman" w:hAnsi="Times New Roman" w:cs="Times New Roman"/>
          <w:lang w:val="es-ES_tradnl"/>
        </w:rPr>
        <w:t xml:space="preserve">, </w:t>
      </w:r>
      <w:r w:rsidR="00AD6CBD" w:rsidRPr="00AD6CBD">
        <w:rPr>
          <w:rFonts w:ascii="Times New Roman" w:hAnsi="Times New Roman" w:cs="Times New Roman"/>
          <w:lang w:val="es-ES_tradnl"/>
        </w:rPr>
        <w:t>o daño, destrucción o pérdida esperada obtenida de la convolución de la probabilidad de ocurrencia de eventos peligrosos y de la vulnerabilidad de los elementos expuestos a tales amenazas, matemáticamente expresado como la probabilidad de exceder un nivel de consecuencias económicas y sociales en un cierto sitio y en un cierto período de tiempo (Spence- 1990).</w:t>
      </w:r>
    </w:p>
    <w:p w14:paraId="66B9CB77" w14:textId="1D1E8796" w:rsidR="00F87DC9" w:rsidRDefault="00F87DC9" w:rsidP="00201A3D">
      <w:pPr>
        <w:pStyle w:val="NormalWeb"/>
        <w:spacing w:after="0"/>
        <w:ind w:left="360" w:firstLine="633"/>
        <w:jc w:val="both"/>
        <w:rPr>
          <w:lang w:val="es-ES"/>
        </w:rPr>
      </w:pPr>
      <w:r>
        <w:rPr>
          <w:lang w:val="es-ES"/>
        </w:rPr>
        <w:t xml:space="preserve">Al </w:t>
      </w:r>
      <w:r w:rsidR="00AD6CBD" w:rsidRPr="00AD6CBD">
        <w:rPr>
          <w:lang w:val="es-ES"/>
        </w:rPr>
        <w:t xml:space="preserve">igual que el termino de Desastre en la Ley </w:t>
      </w:r>
      <w:r w:rsidR="00230AE9">
        <w:rPr>
          <w:lang w:val="es-ES"/>
        </w:rPr>
        <w:t xml:space="preserve">N° </w:t>
      </w:r>
      <w:r w:rsidR="00AD6CBD" w:rsidRPr="00AD6CBD">
        <w:rPr>
          <w:lang w:val="es-ES"/>
        </w:rPr>
        <w:t>29664, Ley de creación del Sistema de Gestión del Riesgo de Desastres (SINAGERD), en el artículo 2 se detalla el significado de los términos peligro, vulnerabilidad y riesgo de desastre que están alineados a los conceptos que se han ido definiendo a nivel mundial:</w:t>
      </w:r>
    </w:p>
    <w:p w14:paraId="41829433" w14:textId="77777777" w:rsidR="00AD6CBD" w:rsidRPr="00C46DED" w:rsidRDefault="00AD6CBD" w:rsidP="00201A3D">
      <w:pPr>
        <w:pStyle w:val="NormalWeb"/>
        <w:spacing w:after="0"/>
        <w:ind w:left="360" w:firstLine="633"/>
        <w:jc w:val="both"/>
        <w:rPr>
          <w:lang w:val="es-ES"/>
        </w:rPr>
      </w:pPr>
    </w:p>
    <w:p w14:paraId="00BF6F1F" w14:textId="176609A7" w:rsidR="00F87DC9" w:rsidRPr="009A42F3" w:rsidRDefault="00F87DC9" w:rsidP="009A42F3">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9A42F3">
        <w:rPr>
          <w:rFonts w:ascii="Times New Roman" w:hAnsi="Times New Roman" w:cs="Times New Roman"/>
          <w:b/>
          <w:bCs/>
          <w:lang w:val="es-ES_tradnl"/>
        </w:rPr>
        <w:t>Peligro:</w:t>
      </w:r>
      <w:r w:rsidRPr="009A42F3">
        <w:rPr>
          <w:rFonts w:ascii="Times New Roman" w:hAnsi="Times New Roman" w:cs="Times New Roman"/>
          <w:lang w:val="es-ES_tradnl"/>
        </w:rPr>
        <w:t xml:space="preserve"> </w:t>
      </w:r>
      <w:r w:rsidR="00AD6CBD" w:rsidRPr="00AD6CBD">
        <w:rPr>
          <w:rFonts w:ascii="Times New Roman" w:hAnsi="Times New Roman" w:cs="Times New Roman"/>
          <w:lang w:val="es-ES_tradnl"/>
        </w:rPr>
        <w:t>Posibilidad de que un fenómeno físico, latentemente dañino, que puede ser causado de manera natural o por obra humana, se presente en un área en específico, con cierto grado de intensidad y en un lapso y frecuencia establecida (Ley N°29664, 2012).</w:t>
      </w:r>
    </w:p>
    <w:p w14:paraId="69416267" w14:textId="481504BF" w:rsidR="00AD6CBD" w:rsidRPr="00AD6CBD" w:rsidRDefault="00F87DC9" w:rsidP="00AD6CBD">
      <w:pPr>
        <w:pStyle w:val="Prrafodelista"/>
        <w:numPr>
          <w:ilvl w:val="0"/>
          <w:numId w:val="23"/>
        </w:numPr>
        <w:rPr>
          <w:rFonts w:ascii="Times New Roman" w:hAnsi="Times New Roman" w:cs="Times New Roman"/>
          <w:lang w:val="es-ES_tradnl"/>
        </w:rPr>
      </w:pPr>
      <w:r w:rsidRPr="00AD6CBD">
        <w:rPr>
          <w:rFonts w:ascii="Times New Roman" w:hAnsi="Times New Roman" w:cs="Times New Roman"/>
          <w:b/>
          <w:bCs/>
          <w:lang w:val="es-ES_tradnl"/>
        </w:rPr>
        <w:t>Vulnerabilidad:</w:t>
      </w:r>
      <w:r w:rsidRPr="00AD6CBD">
        <w:rPr>
          <w:rFonts w:ascii="Times New Roman" w:hAnsi="Times New Roman" w:cs="Times New Roman"/>
          <w:lang w:val="es-ES_tradnl"/>
        </w:rPr>
        <w:t xml:space="preserve"> </w:t>
      </w:r>
      <w:r w:rsidR="009A42F3" w:rsidRPr="00AD6CBD">
        <w:rPr>
          <w:rFonts w:ascii="Times New Roman" w:hAnsi="Times New Roman" w:cs="Times New Roman"/>
          <w:lang w:val="es-ES_tradnl"/>
        </w:rPr>
        <w:t xml:space="preserve">Se </w:t>
      </w:r>
      <w:r w:rsidR="00AD6CBD" w:rsidRPr="00AD6CBD">
        <w:rPr>
          <w:rFonts w:ascii="Times New Roman" w:hAnsi="Times New Roman" w:cs="Times New Roman"/>
          <w:lang w:val="es-ES_tradnl"/>
        </w:rPr>
        <w:t>trata de la susceptibilidad que presenta la ciudadanía, las estructuras físicas o las actividades económicas de sufrir perjuicios por acción de un peligro o una amenaza (Ley N°29664, 2012).</w:t>
      </w:r>
    </w:p>
    <w:p w14:paraId="4B16B866" w14:textId="3B709643" w:rsidR="00F87DC9" w:rsidRPr="009A42F3" w:rsidRDefault="00F87DC9" w:rsidP="00AD6CBD">
      <w:pPr>
        <w:pStyle w:val="Prrafodelista"/>
        <w:pBdr>
          <w:top w:val="nil"/>
          <w:left w:val="nil"/>
          <w:bottom w:val="nil"/>
          <w:right w:val="nil"/>
          <w:between w:val="nil"/>
        </w:pBdr>
        <w:tabs>
          <w:tab w:val="left" w:pos="8222"/>
        </w:tabs>
        <w:spacing w:after="200"/>
        <w:ind w:left="1352"/>
        <w:jc w:val="both"/>
        <w:rPr>
          <w:rFonts w:ascii="Times New Roman" w:hAnsi="Times New Roman" w:cs="Times New Roman"/>
          <w:lang w:val="es-ES_tradnl"/>
        </w:rPr>
      </w:pPr>
    </w:p>
    <w:p w14:paraId="635305A1" w14:textId="364D5F92" w:rsidR="00F87DC9" w:rsidRPr="00201A3D" w:rsidRDefault="00F87DC9" w:rsidP="00F87DC9">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201A3D">
        <w:rPr>
          <w:rFonts w:ascii="Times New Roman" w:hAnsi="Times New Roman" w:cs="Times New Roman"/>
          <w:b/>
          <w:bCs/>
          <w:lang w:val="es-ES_tradnl"/>
        </w:rPr>
        <w:t>Riesgo de desastre:</w:t>
      </w:r>
      <w:r w:rsidRPr="00201A3D">
        <w:rPr>
          <w:rFonts w:ascii="Times New Roman" w:hAnsi="Times New Roman" w:cs="Times New Roman"/>
          <w:lang w:val="es-ES_tradnl"/>
        </w:rPr>
        <w:t xml:space="preserve"> </w:t>
      </w:r>
      <w:r w:rsidR="009A42F3">
        <w:rPr>
          <w:rFonts w:ascii="Times New Roman" w:hAnsi="Times New Roman" w:cs="Times New Roman"/>
          <w:lang w:val="es-ES_tradnl"/>
        </w:rPr>
        <w:t xml:space="preserve">Se </w:t>
      </w:r>
      <w:r w:rsidR="00AD6CBD" w:rsidRPr="00AD6CBD">
        <w:rPr>
          <w:rFonts w:ascii="Times New Roman" w:hAnsi="Times New Roman" w:cs="Times New Roman"/>
          <w:lang w:val="es-ES_tradnl"/>
        </w:rPr>
        <w:t xml:space="preserve">trata de la posibilidad de que la ciudadanía y sus medios de vida, experimenten pérdidas y daños a causa de su </w:t>
      </w:r>
      <w:r w:rsidR="00AD6CBD" w:rsidRPr="00AD6CBD">
        <w:rPr>
          <w:rFonts w:ascii="Times New Roman" w:hAnsi="Times New Roman" w:cs="Times New Roman"/>
          <w:lang w:val="es-ES_tradnl"/>
        </w:rPr>
        <w:lastRenderedPageBreak/>
        <w:t>condición de vulnerabilidad y el impacto del desastre (Ley N°29664, 2012).</w:t>
      </w:r>
    </w:p>
    <w:p w14:paraId="77C2BB99" w14:textId="22BCA4DE" w:rsidR="00F87DC9" w:rsidRPr="005B32B2" w:rsidRDefault="00F87DC9" w:rsidP="005B32B2">
      <w:pPr>
        <w:ind w:firstLine="426"/>
        <w:rPr>
          <w:rFonts w:ascii="Times New Roman" w:hAnsi="Times New Roman" w:cs="Times New Roman"/>
          <w:b/>
        </w:rPr>
      </w:pPr>
      <w:r w:rsidRPr="005B32B2">
        <w:rPr>
          <w:rFonts w:ascii="Times New Roman" w:hAnsi="Times New Roman" w:cs="Times New Roman"/>
          <w:b/>
        </w:rPr>
        <w:t xml:space="preserve">Del </w:t>
      </w:r>
      <w:r w:rsidR="00AD6CBD" w:rsidRPr="00AD6CBD">
        <w:rPr>
          <w:rFonts w:ascii="Times New Roman" w:hAnsi="Times New Roman" w:cs="Times New Roman"/>
          <w:b/>
        </w:rPr>
        <w:t>manejo de desastres a la gestión del riesgo de desastres</w:t>
      </w:r>
    </w:p>
    <w:p w14:paraId="04A3E0D6" w14:textId="14F764E0" w:rsidR="00F87DC9" w:rsidRPr="00346660" w:rsidRDefault="00AD6CBD" w:rsidP="005B32B2">
      <w:pPr>
        <w:pStyle w:val="NormalWeb"/>
        <w:spacing w:after="0"/>
        <w:ind w:left="426" w:firstLine="850"/>
        <w:jc w:val="both"/>
        <w:rPr>
          <w:color w:val="000000"/>
        </w:rPr>
      </w:pPr>
      <w:r w:rsidRPr="00AD6CBD">
        <w:rPr>
          <w:color w:val="000000"/>
        </w:rPr>
        <w:t>Una de las temáticas que ha evolucionado significativamente ha sido la de los riesgos de desastres. Durante muchos años ha prevalecido un enfoque centrado en los desastres como el problema que hay que atender y prepararnos para el siguiente; asociados a una serie de ideas o visiones:</w:t>
      </w:r>
    </w:p>
    <w:p w14:paraId="76039678"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Una visión o enfoque centrado en el desastre mismo, es decir, en la serie de daños físicos, económicos y sociales producto de la ocurrencia de un evento y que requiere de acciones de atención y respuesta inmediata que permitan superar la situación de emergencia dada. (Linda Zilbert, 2008).</w:t>
      </w:r>
    </w:p>
    <w:p w14:paraId="0A11EEC2"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Una visión de los desastres como fenómenos eminentemente naturales y peligrosos, difíciles de prevenir, reducir y/o controlar. (Linda Zilbert, 2008).</w:t>
      </w:r>
    </w:p>
    <w:p w14:paraId="0FEAE5E5"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Los desastres considerados como «agresiones externas», producto de la «furia de la naturaleza» contra los seres humanos, quienes no les queda otro mecanismo de protección que responder. (Linda Zilbert, 2008).</w:t>
      </w:r>
    </w:p>
    <w:p w14:paraId="501EB6ED" w14:textId="70A548E8"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Los desastres vistos como sucesos aislados, detenidos en el tiempo, dimensionados en fases (antes, durante y después) y que, como hechos cumplidos irremediablemente, van a volver a ocurrir (productos). (Linda Zilbert, 2008).</w:t>
      </w:r>
    </w:p>
    <w:p w14:paraId="06B28762" w14:textId="77777777" w:rsidR="00AD6CBD" w:rsidRPr="00AD6CBD" w:rsidRDefault="00AD6CBD" w:rsidP="00AD6CBD">
      <w:pPr>
        <w:pStyle w:val="Prrafodelista"/>
        <w:pBdr>
          <w:top w:val="nil"/>
          <w:left w:val="nil"/>
          <w:bottom w:val="nil"/>
          <w:right w:val="nil"/>
          <w:between w:val="nil"/>
        </w:pBdr>
        <w:tabs>
          <w:tab w:val="left" w:pos="8222"/>
        </w:tabs>
        <w:spacing w:after="200"/>
        <w:ind w:left="1352"/>
        <w:jc w:val="both"/>
        <w:rPr>
          <w:rFonts w:ascii="Times New Roman" w:hAnsi="Times New Roman" w:cs="Times New Roman"/>
          <w:lang w:val="es-ES_tradnl"/>
        </w:rPr>
      </w:pPr>
    </w:p>
    <w:p w14:paraId="2B918643" w14:textId="1227FB67" w:rsidR="008D0763" w:rsidRDefault="00AD6CBD" w:rsidP="005A79DC">
      <w:pPr>
        <w:pStyle w:val="NormalWeb"/>
        <w:spacing w:after="0"/>
        <w:ind w:left="426" w:firstLine="567"/>
        <w:jc w:val="both"/>
        <w:rPr>
          <w:color w:val="000000"/>
        </w:rPr>
      </w:pPr>
      <w:r w:rsidRPr="00AD6CBD">
        <w:rPr>
          <w:color w:val="000000"/>
        </w:rPr>
        <w:t>Es a partir de la década de 1990, coincidente con el Decenio Internacional para la Reducción de los Desastres Naturales (DIRDN) declarado por las Naciones Unidas que, a nivel internacional y especialmente en América Latina que empieza a manifestarse un cambio en el abordaje del tema. La investigadora Gisella Gellert, miembro de Red de Estudios Sociales en Prevención de Desastres en América Latina (LA RED), en un artículo</w:t>
      </w:r>
      <w:r w:rsidRPr="00AD6CBD">
        <w:t xml:space="preserve"> </w:t>
      </w:r>
      <w:r w:rsidRPr="00AD6CBD">
        <w:rPr>
          <w:color w:val="000000"/>
        </w:rPr>
        <w:t xml:space="preserve">publicado en el Boletín Científico Sapiens Research habla de ese cambio de </w:t>
      </w:r>
      <w:r w:rsidRPr="00AD6CBD">
        <w:rPr>
          <w:color w:val="000000"/>
        </w:rPr>
        <w:lastRenderedPageBreak/>
        <w:t>paradigma y de la percepción y el abordaje de la problemática de los desastres, donde el problema ya no se enfoca tanto en el evento de ocurrencia del desastre y la respuesta (administración del desastre) sino en el riesgo que predispone el desastre, el cual es construido socialmente; es decir, ningún desastre puede suceder sin la previa existencia de una situación de riesgo, la cual no solo permite la ocurrencia del desastre sino determina también la dimensión de sus impactos. En consecuencia, el riesgo se convirtió́ en el elemento sustancial para entender cómo se “construyen” los desastres, y determinar los elementos (o procesos) sobre los cuales se debe incidir para evitar la ocurrencia de un desastre o reducir sus efectos. (Gisela Gellert, 2012, pág. 13 - 17).</w:t>
      </w:r>
    </w:p>
    <w:p w14:paraId="19133368" w14:textId="77777777" w:rsidR="00AD6CBD" w:rsidRDefault="00AD6CBD" w:rsidP="005A79DC">
      <w:pPr>
        <w:pStyle w:val="NormalWeb"/>
        <w:spacing w:after="0"/>
        <w:ind w:left="426" w:firstLine="567"/>
        <w:jc w:val="both"/>
        <w:rPr>
          <w:color w:val="000000"/>
        </w:rPr>
      </w:pPr>
    </w:p>
    <w:p w14:paraId="0EF35EAE" w14:textId="58817850" w:rsidR="00F87DC9" w:rsidRPr="00346660" w:rsidRDefault="00AD6CBD" w:rsidP="00082617">
      <w:pPr>
        <w:pStyle w:val="NormalWeb"/>
        <w:spacing w:after="0"/>
        <w:ind w:left="426" w:firstLine="567"/>
        <w:jc w:val="both"/>
        <w:rPr>
          <w:color w:val="000000"/>
        </w:rPr>
      </w:pPr>
      <w:r w:rsidRPr="00AD6CBD">
        <w:rPr>
          <w:color w:val="000000"/>
        </w:rPr>
        <w:t>En ese sentido, el foco de atención y problema son los riesgos existentes y los desastres son la consecuencia de no transformarlos y reducirlos o de haberlos generado con las intervenciones orientadas al “desarrollo”. El riesgo, según Allan Lavell, académico investigador reconocido con el premio Sasakawa, implica un grado de posibilidad de daños asociados con la existencia de ciertas condiciones (infraestructura, vivienda, individuos, etc.). Se presume que el riesgo implica, en consecuencia, una condición que determina el posible alcance de pérdidas ante un suceso de desastre natural. Esa probabilidad depende de la medición y análisis cuali-cuantitativos. El riesgo es mayor o menor dependiendo de ciertos factores de riesgo: La amenaza y la vulnerabilidad. El primero, se trata de la probabilidad de ocurrencia de un evento que pueden ocasionar perjuicios para la ciudadanía. Mientras que la “vulnerabilidad”, se trata de un conjunto de características particulares que predisponen a sufrir afectaciones frente a un evento externo y que dificultan su futura recuperación. Resulta ser sinónimo de fragilidad o debilidad (Lavell, Allan, 2005).</w:t>
      </w:r>
    </w:p>
    <w:p w14:paraId="2983FD3F" w14:textId="77777777" w:rsidR="00F87DC9" w:rsidRPr="00346660" w:rsidRDefault="00F87DC9" w:rsidP="00F87DC9">
      <w:pPr>
        <w:pStyle w:val="NormalWeb"/>
        <w:spacing w:after="0"/>
        <w:rPr>
          <w:color w:val="000000"/>
        </w:rPr>
      </w:pPr>
    </w:p>
    <w:p w14:paraId="6D552BFA" w14:textId="4F10D65A" w:rsidR="00A15CA4" w:rsidRDefault="00AD6CBD" w:rsidP="005A79DC">
      <w:pPr>
        <w:pStyle w:val="NormalWeb"/>
        <w:spacing w:after="0"/>
        <w:ind w:left="426" w:firstLine="567"/>
        <w:jc w:val="both"/>
        <w:rPr>
          <w:color w:val="000000"/>
        </w:rPr>
      </w:pPr>
      <w:r w:rsidRPr="00AD6CBD">
        <w:rPr>
          <w:color w:val="000000"/>
        </w:rPr>
        <w:t>El riesgo es producto de la interacción de estos dos componentes; no existen peligros o amenazas si es que no hay una sociedad vulnerable (expuesta, frágil y no resiliente) que puede sufrir daños ante su presencia. Piers</w:t>
      </w:r>
      <w:r>
        <w:rPr>
          <w:color w:val="000000"/>
        </w:rPr>
        <w:t xml:space="preserve"> </w:t>
      </w:r>
      <w:r w:rsidRPr="00AD6CBD">
        <w:rPr>
          <w:color w:val="000000"/>
        </w:rPr>
        <w:t xml:space="preserve">Blakie, profesor de la Escuela de Estudios de Desarrollo, Universidad de East </w:t>
      </w:r>
      <w:r w:rsidRPr="00AD6CBD">
        <w:rPr>
          <w:color w:val="000000"/>
        </w:rPr>
        <w:lastRenderedPageBreak/>
        <w:t>Anglia, Reino Unido y coautor de Vulnerabilidad: El Entorno Social, Político y Económico de los Desastres, menciona que la vulnerabilidad y las amenazas o peligros se manifiestan en condiciones concretas de existencia humana o físicas. Son palpables, analizables y muchas de ellas factibles de medir</w:t>
      </w:r>
      <w:r w:rsidR="00230AE9">
        <w:rPr>
          <w:color w:val="000000"/>
        </w:rPr>
        <w:t>.</w:t>
      </w:r>
      <w:r w:rsidRPr="00AD6CBD">
        <w:rPr>
          <w:color w:val="000000"/>
        </w:rPr>
        <w:t xml:space="preserve"> (Blaikie et al., 1996).</w:t>
      </w:r>
    </w:p>
    <w:p w14:paraId="51835E24" w14:textId="77777777" w:rsidR="003010B1" w:rsidRDefault="003010B1" w:rsidP="005A79DC">
      <w:pPr>
        <w:pStyle w:val="NormalWeb"/>
        <w:spacing w:after="0"/>
        <w:ind w:left="426" w:firstLine="567"/>
        <w:jc w:val="both"/>
        <w:rPr>
          <w:color w:val="000000"/>
        </w:rPr>
      </w:pPr>
    </w:p>
    <w:p w14:paraId="47973107" w14:textId="7113CB5A" w:rsidR="00F87DC9" w:rsidRDefault="00AD6CBD" w:rsidP="00A15CA4">
      <w:pPr>
        <w:pStyle w:val="NormalWeb"/>
        <w:spacing w:after="0"/>
        <w:ind w:left="426" w:firstLine="850"/>
        <w:jc w:val="both"/>
        <w:rPr>
          <w:color w:val="000000"/>
        </w:rPr>
      </w:pPr>
      <w:r w:rsidRPr="00AD6CBD">
        <w:rPr>
          <w:color w:val="000000"/>
        </w:rPr>
        <w:t>Según Gustavo Wilches-Chaux, se expresan en condiciones de vida inseguras para la población que se presentan en distintos contextos específicos relacionados con la ubicación de la población y su producción. Dentro de ellas se puede indicar particularidades físicas de la estructura, falta de ingresos, la enfermedad y desnutrición, el desconocimiento de condiciones ambientales, falta de organización solidaria y de participación en la toma de decisiones que perjudica la vida de la ciudadanía. El problema de riesgo es entonces, un problema íntimamente relacionado con el desarrollo o la falta del desarrollo, y los desastres son indicadores de insostenibilidad en los procesos de gestión del desarrollo (Allan Lavell, 2004).</w:t>
      </w:r>
    </w:p>
    <w:p w14:paraId="79848A6B" w14:textId="77777777" w:rsidR="003010B1" w:rsidRDefault="003010B1" w:rsidP="00A15CA4">
      <w:pPr>
        <w:pStyle w:val="NormalWeb"/>
        <w:spacing w:after="0"/>
        <w:ind w:left="426" w:firstLine="850"/>
        <w:jc w:val="both"/>
        <w:rPr>
          <w:color w:val="000000"/>
        </w:rPr>
      </w:pPr>
    </w:p>
    <w:p w14:paraId="649B97D9" w14:textId="74D2C020" w:rsidR="00F87DC9" w:rsidRDefault="00AD6CBD" w:rsidP="004F782B">
      <w:pPr>
        <w:pStyle w:val="NormalWeb"/>
        <w:spacing w:after="0"/>
        <w:ind w:left="426" w:firstLine="567"/>
        <w:jc w:val="both"/>
        <w:rPr>
          <w:color w:val="000000"/>
        </w:rPr>
      </w:pPr>
      <w:r w:rsidRPr="00AD6CBD">
        <w:rPr>
          <w:color w:val="000000"/>
        </w:rPr>
        <w:t>En ese sentido, la Ley Nº 29664 define la Gestión del Riesgo de Desastres como un proceso social cuyo propósito es buscar la prevención, reducción y control constante de factores de riesgo de desastre en la comunidad, además de la eficiente preparación y respuesta ante sucesos de desastres, fundamentándose en normas con énfasis en materia ambiental, económica, seguridad y de defensa nacional – territorial. Además de basarse en fundamentos científicos que orienten las políticas, estrategias y medidas en todo nivel de gobierno y de la sociedad con el objetivo de salvaguardar la vida y patrimonio de las personas y del Estado (Ley N°29664, 2012).</w:t>
      </w:r>
    </w:p>
    <w:p w14:paraId="401D46EF" w14:textId="77777777" w:rsidR="00F87DC9" w:rsidRDefault="00F87DC9" w:rsidP="00F87DC9">
      <w:pPr>
        <w:pStyle w:val="NormalWeb"/>
        <w:spacing w:after="0"/>
        <w:jc w:val="both"/>
        <w:rPr>
          <w:color w:val="000000"/>
        </w:rPr>
      </w:pPr>
    </w:p>
    <w:p w14:paraId="3E371644" w14:textId="37B4E934" w:rsidR="00F87DC9" w:rsidRDefault="00AD6CBD" w:rsidP="005A79DC">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La Ley 29664 define que la implementación de la Gestión de Riesgo de Desastres se debe incluir a través de tres componentes:</w:t>
      </w:r>
    </w:p>
    <w:p w14:paraId="5F2A12A5" w14:textId="77777777" w:rsidR="00AD6CBD" w:rsidRDefault="00F87DC9"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 xml:space="preserve">Gestión prospectiva: </w:t>
      </w:r>
      <w:r w:rsidR="004F782B" w:rsidRPr="00AD6CBD">
        <w:rPr>
          <w:rFonts w:ascii="Times New Roman" w:hAnsi="Times New Roman" w:cs="Times New Roman"/>
          <w:lang w:val="es-ES_tradnl"/>
        </w:rPr>
        <w:t>Se</w:t>
      </w:r>
      <w:r w:rsidR="00AD6CBD" w:rsidRPr="00AD6CBD">
        <w:rPr>
          <w:rFonts w:ascii="Times New Roman" w:hAnsi="Times New Roman" w:cs="Times New Roman"/>
          <w:lang w:val="es-ES_tradnl"/>
        </w:rPr>
        <w:t xml:space="preserve"> trata del conjunto de acciones que son planificadas y se concretan con el propósito de evitar y prever el</w:t>
      </w:r>
      <w:r w:rsidR="00AD6CBD">
        <w:rPr>
          <w:rFonts w:ascii="Times New Roman" w:hAnsi="Times New Roman" w:cs="Times New Roman"/>
          <w:lang w:val="es-ES_tradnl"/>
        </w:rPr>
        <w:t xml:space="preserve"> </w:t>
      </w:r>
      <w:r w:rsidR="00AD6CBD" w:rsidRPr="00AD6CBD">
        <w:rPr>
          <w:rFonts w:ascii="Times New Roman" w:hAnsi="Times New Roman" w:cs="Times New Roman"/>
          <w:lang w:val="es-ES_tradnl"/>
        </w:rPr>
        <w:t xml:space="preserve">desarrollo del riego futuro que podría darse por el desarrollo de </w:t>
      </w:r>
      <w:r w:rsidR="00AD6CBD" w:rsidRPr="00AD6CBD">
        <w:rPr>
          <w:rFonts w:ascii="Times New Roman" w:hAnsi="Times New Roman" w:cs="Times New Roman"/>
          <w:lang w:val="es-ES_tradnl"/>
        </w:rPr>
        <w:lastRenderedPageBreak/>
        <w:t>nuevas inversiones y proyectos en un área en específico (Ley N°29664, 2012).</w:t>
      </w:r>
    </w:p>
    <w:p w14:paraId="73B286C0"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Gestión correctiva: Se trata del conjunto de acciones que son planificadas y se concretan con el propósito de corregir y mitigar el riesgo que prevalece. (Ley N°29664, 2012).</w:t>
      </w:r>
    </w:p>
    <w:p w14:paraId="563D912D" w14:textId="4CFC82AD"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Gestión reactiva: Se trata del conjunto de acciones consignadas para afrontar los desastres ya sea por un peligro inminente o por la plasmación del riesgo. (Ley N°29664, 2012).</w:t>
      </w:r>
    </w:p>
    <w:p w14:paraId="1C60EBAE" w14:textId="27448E00" w:rsidR="00F87DC9" w:rsidRPr="00D57497" w:rsidRDefault="00AD6CBD" w:rsidP="005A79DC">
      <w:pPr>
        <w:pBdr>
          <w:top w:val="nil"/>
          <w:left w:val="nil"/>
          <w:bottom w:val="nil"/>
          <w:right w:val="nil"/>
          <w:between w:val="nil"/>
        </w:pBdr>
        <w:tabs>
          <w:tab w:val="left" w:pos="8222"/>
        </w:tabs>
        <w:spacing w:after="200"/>
        <w:ind w:left="426" w:firstLine="567"/>
        <w:jc w:val="both"/>
        <w:rPr>
          <w:rFonts w:ascii="Times New Roman" w:eastAsia="Times New Roman" w:hAnsi="Times New Roman" w:cs="Times New Roman"/>
        </w:rPr>
      </w:pPr>
      <w:r w:rsidRPr="00AD6CBD">
        <w:rPr>
          <w:rFonts w:ascii="Times New Roman" w:eastAsia="Times New Roman" w:hAnsi="Times New Roman" w:cs="Times New Roman"/>
        </w:rPr>
        <w:t>Los tres componentes se van a incluir en el planeamiento, organización, dirección y control de las acciones asociadas con los procesos que se detallan a continuación:</w:t>
      </w:r>
    </w:p>
    <w:p w14:paraId="23B77846" w14:textId="508DD91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Estimación del riesgo: Actividades que se organizan para obtener información de los peligros existentes, la vulnerabilidad y el riesgo que serán útiles para la toma de decisiones (Ley N°29664, 2012)</w:t>
      </w:r>
      <w:r>
        <w:rPr>
          <w:rFonts w:ascii="Times New Roman" w:hAnsi="Times New Roman" w:cs="Times New Roman"/>
          <w:lang w:val="es-ES_tradnl"/>
        </w:rPr>
        <w:t>.</w:t>
      </w:r>
    </w:p>
    <w:p w14:paraId="47F627C9"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Prevención y reducción del riesgo: Actividades orientadas en evitar la producción de nuevos riesgos en la comunidad y a disminuir el grado de vulnerabilidades y riesgos existentes (Ley N°29664, 2012)</w:t>
      </w:r>
      <w:r>
        <w:rPr>
          <w:rFonts w:ascii="Times New Roman" w:hAnsi="Times New Roman" w:cs="Times New Roman"/>
          <w:lang w:val="es-ES_tradnl"/>
        </w:rPr>
        <w:t>.</w:t>
      </w:r>
    </w:p>
    <w:p w14:paraId="4DC7C3C5"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Preparación, respuesta y rehabilitación: Actividades que se desarrollan con el propósito de procurar una eficiente respuesta ante desastres, asegurando una oportuna y adecuada atención a la población damnificada, así como el restablecimiento de los servicios indispensables que favorezcan los medios de vida de las personas (Ley N°29664, 2012).</w:t>
      </w:r>
    </w:p>
    <w:p w14:paraId="0EB1EFF6" w14:textId="33E0AFDF"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Reconstrucción: Acciones que se realizan en las áreas afectadas, para asegurar la recuperación física, económica y social de las comunidades afectadas (Ley N°29664, 2012).</w:t>
      </w:r>
    </w:p>
    <w:p w14:paraId="47B7DACC" w14:textId="3820BA39" w:rsidR="00AD6CBD" w:rsidRPr="006847B1" w:rsidRDefault="00AD6CBD" w:rsidP="006847B1">
      <w:pPr>
        <w:pStyle w:val="NormalWeb"/>
        <w:spacing w:after="0"/>
        <w:ind w:left="426" w:firstLine="567"/>
        <w:jc w:val="both"/>
      </w:pPr>
      <w:r w:rsidRPr="00AD6CBD">
        <w:t xml:space="preserve">La definición de la gestión de riesgo de desastres se complementa con la Política Nacional de Gestión del Riesgo de Desastre al 2050, que en su apartado referido a la conceptualización, al hablar de la gestión del riesgo de desastre resalta que dada su dimensión integral, despierta la necesidad de recrear nuevos entendimientos del problema y sus soluciones desde un abordaje territorial, con </w:t>
      </w:r>
      <w:r w:rsidRPr="00AD6CBD">
        <w:lastRenderedPageBreak/>
        <w:t>enfoque inclusivo y que sirva para redirigir los esfuerzos hacia el mejoramiento de las capacidades priorizando las gestiones prospectivas y correctivas (sin dejar de lado la gestión reactiva), en un contexto multinivel y multifactor, así como el nacimiento de una nueva perspectiva sobre la gestión de desastres, donde se ponga en énfasis la gobernanza del riesgo, el liderazgo</w:t>
      </w:r>
      <w:r w:rsidR="00771549">
        <w:t xml:space="preserve"> </w:t>
      </w:r>
      <w:r w:rsidRPr="00AD6CBD">
        <w:t>articulado con una posición de desarrollo (Política Nacional de Gestión del Riesgo de Desastres al 2050,2021)</w:t>
      </w:r>
      <w:r>
        <w:t>.</w:t>
      </w:r>
    </w:p>
    <w:p w14:paraId="6451F7EC" w14:textId="77777777" w:rsidR="00F87DC9" w:rsidRPr="00E55623" w:rsidRDefault="00F87DC9" w:rsidP="00F87DC9">
      <w:pPr>
        <w:pStyle w:val="NormalWeb"/>
        <w:spacing w:after="0"/>
        <w:rPr>
          <w:b/>
          <w:bCs/>
          <w:color w:val="000000"/>
        </w:rPr>
      </w:pPr>
    </w:p>
    <w:p w14:paraId="37A0FC3D" w14:textId="77777777" w:rsidR="00F87DC9" w:rsidRPr="00E55623" w:rsidRDefault="00F87DC9" w:rsidP="00F87DC9">
      <w:pPr>
        <w:pStyle w:val="NormalWeb"/>
        <w:spacing w:after="0"/>
        <w:rPr>
          <w:b/>
          <w:bCs/>
          <w:color w:val="000000"/>
        </w:rPr>
      </w:pPr>
      <w:r w:rsidRPr="00E55623">
        <w:rPr>
          <w:b/>
          <w:bCs/>
          <w:color w:val="000000"/>
        </w:rPr>
        <w:t>La competencia</w:t>
      </w:r>
    </w:p>
    <w:p w14:paraId="6A094E05" w14:textId="5A94FE43" w:rsidR="00AD6CBD" w:rsidRDefault="00AD6CBD" w:rsidP="005A79DC">
      <w:pPr>
        <w:pStyle w:val="NormalWeb"/>
        <w:spacing w:after="0"/>
        <w:ind w:left="426" w:firstLine="567"/>
        <w:jc w:val="both"/>
        <w:rPr>
          <w:color w:val="000000"/>
        </w:rPr>
      </w:pPr>
      <w:r w:rsidRPr="00AD6CBD">
        <w:rPr>
          <w:color w:val="000000"/>
        </w:rPr>
        <w:t>Se define la competencia como la capacidad para realizar con éxito una actividad de trabajo especifica. Para diferenciar si una persona o entidad es competente se considerarán “factores diferenciadores de éxito" que va permitir que la persona o entidad sean los más indicados para asumir la actividad asignada. Hay una frase que se repite en varias investigaciones que dan una despejada a la idea que se tiene sobre las competencias: "puedes enseñar a un pavo a trepar, pero es más fácil contratar a una ardilla"</w:t>
      </w:r>
    </w:p>
    <w:p w14:paraId="1147B9E2" w14:textId="77777777" w:rsidR="00AD6CBD" w:rsidRDefault="00AD6CBD" w:rsidP="005A79DC">
      <w:pPr>
        <w:pStyle w:val="NormalWeb"/>
        <w:spacing w:after="0"/>
        <w:ind w:left="426" w:firstLine="567"/>
        <w:jc w:val="both"/>
        <w:rPr>
          <w:color w:val="000000"/>
        </w:rPr>
      </w:pPr>
    </w:p>
    <w:p w14:paraId="2F725828" w14:textId="77777777" w:rsidR="00AD6CBD" w:rsidRDefault="00AD6CBD" w:rsidP="00AD6CBD">
      <w:pPr>
        <w:pStyle w:val="NormalWeb"/>
        <w:spacing w:after="0"/>
        <w:ind w:left="426" w:firstLine="567"/>
        <w:jc w:val="both"/>
        <w:rPr>
          <w:color w:val="000000"/>
        </w:rPr>
      </w:pPr>
      <w:r w:rsidRPr="00AD6CBD">
        <w:rPr>
          <w:color w:val="000000"/>
        </w:rPr>
        <w:t>Según Fazel Soltani &amp; Rafael se señala que las competencias incluyen los conocimientos, habilidades, prácticas y comportamientos que están causalmente asociados con un mejor desempeño laboral” (Fazel, Soltani, &amp; Rafiee, 2016, p. 191).</w:t>
      </w:r>
    </w:p>
    <w:p w14:paraId="108657E8" w14:textId="77777777" w:rsidR="00AD6CBD" w:rsidRDefault="00AD6CBD" w:rsidP="00AD6CBD">
      <w:pPr>
        <w:pStyle w:val="NormalWeb"/>
        <w:spacing w:after="0"/>
        <w:ind w:left="426" w:firstLine="567"/>
        <w:jc w:val="both"/>
        <w:rPr>
          <w:color w:val="000000"/>
        </w:rPr>
      </w:pPr>
    </w:p>
    <w:p w14:paraId="2085D43C" w14:textId="50ACCECC" w:rsidR="00AD6CBD" w:rsidRPr="00AD6CBD" w:rsidRDefault="00AD6CBD" w:rsidP="00AD6CBD">
      <w:pPr>
        <w:pStyle w:val="NormalWeb"/>
        <w:spacing w:after="0"/>
        <w:ind w:left="426" w:firstLine="567"/>
        <w:jc w:val="both"/>
        <w:rPr>
          <w:color w:val="000000"/>
        </w:rPr>
      </w:pPr>
      <w:r w:rsidRPr="00AD6CBD">
        <w:rPr>
          <w:color w:val="000000"/>
        </w:rPr>
        <w:t>Para medir las competencias de las personas, Lyle. M. Spencer y Signe Spencer señala 5 competencias que son: La motivación, el autoconcepto, características físicas y el aspecto cognitivo sobre áreas específicas y la habilidad. Por otra parte G.P. Bunk circunscribe que la competencia comprende lo siguiente:</w:t>
      </w:r>
    </w:p>
    <w:p w14:paraId="7ACC14F7" w14:textId="77777777" w:rsidR="00AD6CBD" w:rsidRDefault="00F87DC9" w:rsidP="00AD6CBD">
      <w:pPr>
        <w:pStyle w:val="Prrafodelista"/>
        <w:numPr>
          <w:ilvl w:val="0"/>
          <w:numId w:val="23"/>
        </w:numPr>
        <w:jc w:val="both"/>
        <w:rPr>
          <w:rFonts w:ascii="Times New Roman" w:hAnsi="Times New Roman" w:cs="Times New Roman"/>
          <w:lang w:val="es-ES_tradnl"/>
        </w:rPr>
      </w:pPr>
      <w:r w:rsidRPr="00AD6CBD">
        <w:rPr>
          <w:rFonts w:ascii="Times New Roman" w:hAnsi="Times New Roman" w:cs="Times New Roman"/>
          <w:lang w:val="es-ES_tradnl"/>
        </w:rPr>
        <w:t>Competencia técnica: </w:t>
      </w:r>
      <w:r w:rsidR="00AD6CBD" w:rsidRPr="00AD6CBD">
        <w:rPr>
          <w:rFonts w:ascii="Times New Roman" w:hAnsi="Times New Roman" w:cs="Times New Roman"/>
          <w:lang w:val="es-ES_tradnl"/>
        </w:rPr>
        <w:t>Se trata de un dominio experto referente a las</w:t>
      </w:r>
      <w:r w:rsidR="00AD6CBD">
        <w:rPr>
          <w:rFonts w:ascii="Times New Roman" w:hAnsi="Times New Roman" w:cs="Times New Roman"/>
          <w:lang w:val="es-ES_tradnl"/>
        </w:rPr>
        <w:t xml:space="preserve"> </w:t>
      </w:r>
      <w:r w:rsidR="00AD6CBD" w:rsidRPr="00AD6CBD">
        <w:rPr>
          <w:rFonts w:ascii="Times New Roman" w:hAnsi="Times New Roman" w:cs="Times New Roman"/>
          <w:lang w:val="es-ES_tradnl"/>
        </w:rPr>
        <w:t>tareas y contenidos laborales, así como de destrezas y</w:t>
      </w:r>
      <w:r w:rsidR="00AD6CBD">
        <w:rPr>
          <w:rFonts w:ascii="Times New Roman" w:hAnsi="Times New Roman" w:cs="Times New Roman"/>
          <w:lang w:val="es-ES_tradnl"/>
        </w:rPr>
        <w:t xml:space="preserve"> </w:t>
      </w:r>
      <w:r w:rsidR="00AD6CBD" w:rsidRPr="00AD6CBD">
        <w:rPr>
          <w:rFonts w:ascii="Times New Roman" w:hAnsi="Times New Roman" w:cs="Times New Roman"/>
          <w:lang w:val="es-ES_tradnl"/>
        </w:rPr>
        <w:t>conocimientos necesarios para ello (ESAN, 2016).</w:t>
      </w:r>
    </w:p>
    <w:p w14:paraId="2058AD89" w14:textId="77777777" w:rsidR="00AD6CBD" w:rsidRDefault="00AD6CBD" w:rsidP="00AD6CBD">
      <w:pPr>
        <w:pStyle w:val="Prrafodelista"/>
        <w:numPr>
          <w:ilvl w:val="0"/>
          <w:numId w:val="23"/>
        </w:numPr>
        <w:jc w:val="both"/>
        <w:rPr>
          <w:rFonts w:ascii="Times New Roman" w:hAnsi="Times New Roman" w:cs="Times New Roman"/>
          <w:lang w:val="es-ES_tradnl"/>
        </w:rPr>
      </w:pPr>
      <w:r w:rsidRPr="00AD6CBD">
        <w:rPr>
          <w:rFonts w:ascii="Times New Roman" w:hAnsi="Times New Roman" w:cs="Times New Roman"/>
          <w:lang w:val="es-ES_tradnl"/>
        </w:rPr>
        <w:t xml:space="preserve">Competencia metodológica: Se trata de una capacidad que implica reaccionar a través de la aplicación de procesos ideales a la tarea </w:t>
      </w:r>
      <w:r w:rsidRPr="00AD6CBD">
        <w:rPr>
          <w:rFonts w:ascii="Times New Roman" w:hAnsi="Times New Roman" w:cs="Times New Roman"/>
          <w:lang w:val="es-ES_tradnl"/>
        </w:rPr>
        <w:lastRenderedPageBreak/>
        <w:t>designada y a las eventualidades que se presenten, hallando soluciones y obteniendo experiencia para intervenir ante nuevas situaciones. (ESAN, 2016)</w:t>
      </w:r>
    </w:p>
    <w:p w14:paraId="222909F3" w14:textId="77777777" w:rsidR="00AD6CBD" w:rsidRDefault="00AD6CBD" w:rsidP="00AD6CBD">
      <w:pPr>
        <w:pStyle w:val="Prrafodelista"/>
        <w:numPr>
          <w:ilvl w:val="0"/>
          <w:numId w:val="23"/>
        </w:numPr>
        <w:jc w:val="both"/>
        <w:rPr>
          <w:rFonts w:ascii="Times New Roman" w:hAnsi="Times New Roman" w:cs="Times New Roman"/>
          <w:lang w:val="es-ES_tradnl"/>
        </w:rPr>
      </w:pPr>
      <w:r w:rsidRPr="00AD6CBD">
        <w:rPr>
          <w:rFonts w:ascii="Times New Roman" w:hAnsi="Times New Roman" w:cs="Times New Roman"/>
          <w:lang w:val="es-ES_tradnl"/>
        </w:rPr>
        <w:t>Competencia social: Se trata de una habilidad que implica colaborar y socializar con otros sujetos de una manera constructiva y comunicativa, mostrando una conducta orientada al grupo de trabajo y el entendimiento interpersonal (ESAN, 2016</w:t>
      </w:r>
      <w:r>
        <w:rPr>
          <w:rFonts w:ascii="Times New Roman" w:hAnsi="Times New Roman" w:cs="Times New Roman"/>
          <w:lang w:val="es-ES_tradnl"/>
        </w:rPr>
        <w:t>)</w:t>
      </w:r>
    </w:p>
    <w:p w14:paraId="07400450" w14:textId="1B6F860C" w:rsidR="00F87DC9" w:rsidRPr="00AD6CBD" w:rsidRDefault="00AD6CBD" w:rsidP="00AD6CBD">
      <w:pPr>
        <w:pStyle w:val="Prrafodelista"/>
        <w:numPr>
          <w:ilvl w:val="0"/>
          <w:numId w:val="23"/>
        </w:numPr>
        <w:jc w:val="both"/>
        <w:rPr>
          <w:rFonts w:ascii="Times New Roman" w:hAnsi="Times New Roman" w:cs="Times New Roman"/>
          <w:lang w:val="es-ES_tradnl"/>
        </w:rPr>
      </w:pPr>
      <w:r w:rsidRPr="00AD6CBD">
        <w:rPr>
          <w:rFonts w:ascii="Times New Roman" w:hAnsi="Times New Roman" w:cs="Times New Roman"/>
          <w:lang w:val="es-ES_tradnl"/>
        </w:rPr>
        <w:t>Competencia participativa: Implica mostrar actitudes participativas dentro de una organización, mostrando habilidades para organizar y decidir; así como el de aceptar compromisos y responsabilidades. (ESAN, 2016)</w:t>
      </w:r>
    </w:p>
    <w:p w14:paraId="0E0165D9" w14:textId="3E69EB58" w:rsidR="00CD2EDB" w:rsidRDefault="00AD6CBD" w:rsidP="00F325C7">
      <w:pPr>
        <w:shd w:val="clear" w:color="auto" w:fill="FFFFFF"/>
        <w:spacing w:before="180" w:after="180"/>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En la misma línea Christian Guzmán Napurí en el Blog, La Cosa Publica determina la competencia a nivel administrativo que se determina como una aptitud legal para actuar o intervenir, según el escenario, la cuantía, el tiempo, grado y/o materia. Entonces, se puede entender por competencia como una serie de atribuciones de los órganos y entes que conforman el Estado. Las competencias son importantes pues si ella, el acto administrativo deviene en nulo. La competencia a nivel administrativo se puede caracterizar por lo siguiente:</w:t>
      </w:r>
    </w:p>
    <w:p w14:paraId="72A6CB31"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Legalidad. La competencia posee su fuente en la Constitución y otras bases legales, y es reglamentada por diferentes normas administrativas. (La Cosa Pública, 2008)</w:t>
      </w:r>
    </w:p>
    <w:p w14:paraId="524B40ED" w14:textId="20EB3D36"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Inalienabilidad. La autoridad administrativa no tiene posibilidad de emitir su renuncia a la titularidad de la competencia, ni mucho menos puede abstenerse al ejercicio de las competencias atribuí</w:t>
      </w:r>
      <w:r w:rsidR="00771549">
        <w:rPr>
          <w:rFonts w:ascii="Times New Roman" w:hAnsi="Times New Roman" w:cs="Times New Roman"/>
          <w:lang w:val="es-ES_tradnl"/>
        </w:rPr>
        <w:t>d</w:t>
      </w:r>
      <w:r w:rsidRPr="00AD6CBD">
        <w:rPr>
          <w:rFonts w:ascii="Times New Roman" w:hAnsi="Times New Roman" w:cs="Times New Roman"/>
          <w:lang w:val="es-ES_tradnl"/>
        </w:rPr>
        <w:t>as a alguna institución administrativa. (La Cosa Pública, 2008)</w:t>
      </w:r>
    </w:p>
    <w:p w14:paraId="45B8570F"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Responsabilidad. El atraso o la negligencia en el cumplimiento de la competencia o la falta de su ejercicio puede constituir una falta disciplinaria imputable al funcionario respectivo, configurando a la</w:t>
      </w:r>
      <w:r>
        <w:rPr>
          <w:rFonts w:ascii="Times New Roman" w:hAnsi="Times New Roman" w:cs="Times New Roman"/>
          <w:lang w:val="es-ES_tradnl"/>
        </w:rPr>
        <w:t xml:space="preserve"> </w:t>
      </w:r>
      <w:r w:rsidRPr="00AD6CBD">
        <w:rPr>
          <w:rFonts w:ascii="Times New Roman" w:hAnsi="Times New Roman" w:cs="Times New Roman"/>
          <w:lang w:val="es-ES_tradnl"/>
        </w:rPr>
        <w:t xml:space="preserve">competencia como un deber público. Ello involucra también </w:t>
      </w:r>
      <w:r w:rsidRPr="00AD6CBD">
        <w:rPr>
          <w:rFonts w:ascii="Times New Roman" w:hAnsi="Times New Roman" w:cs="Times New Roman"/>
          <w:lang w:val="es-ES_tradnl"/>
        </w:rPr>
        <w:lastRenderedPageBreak/>
        <w:t>responsabilidad imputable a la administración, si es que se llega a producir algún daño a otros particulares (La Cosa Pública, 2008)</w:t>
      </w:r>
    </w:p>
    <w:p w14:paraId="1DA22296"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Esencialidad. La competencia resulta ser esencial dentro de la gestión administrativa y, como consecuencia, representa un requisito válido (La Cosa Pública, 2008)</w:t>
      </w:r>
    </w:p>
    <w:p w14:paraId="0F961DE7" w14:textId="77777777" w:rsid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Fin público. La competencia posee utilidad pública. Se explica que toda autoridad ejerce su competencia en base al fin público que le ofrece origen a la misma. (La Cosa Pública, 2008)</w:t>
      </w:r>
    </w:p>
    <w:p w14:paraId="2D166D90" w14:textId="7CB6E5AD" w:rsidR="00AD6CBD" w:rsidRPr="00AD6CBD" w:rsidRDefault="00AD6CBD" w:rsidP="00AD6CBD">
      <w:pPr>
        <w:pStyle w:val="Prrafodelista"/>
        <w:numPr>
          <w:ilvl w:val="0"/>
          <w:numId w:val="23"/>
        </w:numPr>
        <w:pBdr>
          <w:top w:val="nil"/>
          <w:left w:val="nil"/>
          <w:bottom w:val="nil"/>
          <w:right w:val="nil"/>
          <w:between w:val="nil"/>
        </w:pBdr>
        <w:tabs>
          <w:tab w:val="left" w:pos="8222"/>
        </w:tabs>
        <w:spacing w:after="200"/>
        <w:jc w:val="both"/>
        <w:rPr>
          <w:rFonts w:ascii="Times New Roman" w:hAnsi="Times New Roman" w:cs="Times New Roman"/>
          <w:lang w:val="es-ES_tradnl"/>
        </w:rPr>
      </w:pPr>
      <w:r w:rsidRPr="00AD6CBD">
        <w:rPr>
          <w:rFonts w:ascii="Times New Roman" w:hAnsi="Times New Roman" w:cs="Times New Roman"/>
          <w:lang w:val="es-ES_tradnl"/>
        </w:rPr>
        <w:t>Jerarquía. La competencia que se le designa a un funcionario depende del nivel jerárquico, en términos de materia, grado y territorio. (La Cosa Pública, 2008)</w:t>
      </w:r>
    </w:p>
    <w:p w14:paraId="2B6B4BAE" w14:textId="77777777" w:rsidR="00AD6CBD" w:rsidRPr="00CD730F" w:rsidRDefault="00AD6CBD" w:rsidP="00AD6CBD">
      <w:pPr>
        <w:pStyle w:val="Prrafodelista"/>
        <w:pBdr>
          <w:top w:val="nil"/>
          <w:left w:val="nil"/>
          <w:bottom w:val="nil"/>
          <w:right w:val="nil"/>
          <w:between w:val="nil"/>
        </w:pBdr>
        <w:tabs>
          <w:tab w:val="left" w:pos="8222"/>
        </w:tabs>
        <w:spacing w:after="200"/>
        <w:ind w:left="1352"/>
        <w:jc w:val="both"/>
        <w:rPr>
          <w:rFonts w:ascii="Times New Roman" w:hAnsi="Times New Roman" w:cs="Times New Roman"/>
          <w:lang w:val="es-ES_tradnl"/>
        </w:rPr>
      </w:pPr>
    </w:p>
    <w:p w14:paraId="6A006DA5" w14:textId="7B981788" w:rsidR="00AD6CBD" w:rsidRPr="00AD6CBD" w:rsidRDefault="00AD6CBD" w:rsidP="00AD6CBD">
      <w:pPr>
        <w:shd w:val="clear" w:color="auto" w:fill="FFFFFF"/>
        <w:spacing w:before="180" w:after="180"/>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Ante los conceptos antes mencionados podemos definir que las competencias a nivel de las entidades son las capacidades, características que van a asignarse a una entidad para su ejecución es por ello que la misma es reforzada mediante instrumentos jurídicos que le dan legalidad hacía un fin público</w:t>
      </w:r>
      <w:r>
        <w:rPr>
          <w:rFonts w:ascii="Times New Roman" w:eastAsia="Times New Roman" w:hAnsi="Times New Roman" w:cs="Times New Roman"/>
          <w:color w:val="000000"/>
        </w:rPr>
        <w:t>.</w:t>
      </w:r>
    </w:p>
    <w:p w14:paraId="67C8E335" w14:textId="5EA2CFD9" w:rsidR="00F325C7" w:rsidRDefault="00AD6CBD" w:rsidP="006358D6">
      <w:pPr>
        <w:shd w:val="clear" w:color="auto" w:fill="FFFFFF"/>
        <w:spacing w:before="180" w:after="180"/>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 xml:space="preserve">Entendiendo la definición de competencia es que se analiza la ley </w:t>
      </w:r>
      <w:r w:rsidR="00771549">
        <w:rPr>
          <w:rFonts w:ascii="Times New Roman" w:eastAsia="Times New Roman" w:hAnsi="Times New Roman" w:cs="Times New Roman"/>
          <w:color w:val="000000"/>
        </w:rPr>
        <w:t xml:space="preserve">N° </w:t>
      </w:r>
      <w:r w:rsidRPr="00AD6CBD">
        <w:rPr>
          <w:rFonts w:ascii="Times New Roman" w:eastAsia="Times New Roman" w:hAnsi="Times New Roman" w:cs="Times New Roman"/>
          <w:color w:val="000000"/>
        </w:rPr>
        <w:t>29664 que crea el SINAGERD donde se definen las funciones y competencias que deben ejecutar todas las organizaciones gubernamentales y empresariales, así como la población en general para una adecuada implementación del GRD en la nación. El sector Defensa al ser una entidad pública se definen seis funciones en el artículo 16 donde vamos a destacar la que señala la obligatoriedad de incorporar los siete procesos de GRD en su entidad considerando lo establecido en la Política Nacional de Gestión del Riesgo de Desastres y los planes nacionales respectivos.</w:t>
      </w:r>
    </w:p>
    <w:p w14:paraId="2AD8F7CD" w14:textId="0EB3AC7F" w:rsidR="00AD6CBD" w:rsidRDefault="00AD6CBD" w:rsidP="006358D6">
      <w:pPr>
        <w:shd w:val="clear" w:color="auto" w:fill="FFFFFF"/>
        <w:spacing w:before="180" w:after="180"/>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 xml:space="preserve">En la misma Ley </w:t>
      </w:r>
      <w:r w:rsidR="00771549">
        <w:rPr>
          <w:rFonts w:ascii="Times New Roman" w:eastAsia="Times New Roman" w:hAnsi="Times New Roman" w:cs="Times New Roman"/>
          <w:color w:val="000000"/>
        </w:rPr>
        <w:t xml:space="preserve">N° </w:t>
      </w:r>
      <w:r w:rsidRPr="00AD6CBD">
        <w:rPr>
          <w:rFonts w:ascii="Times New Roman" w:eastAsia="Times New Roman" w:hAnsi="Times New Roman" w:cs="Times New Roman"/>
          <w:color w:val="000000"/>
        </w:rPr>
        <w:t>29664 se detalla en el artículo 17 la participación de las Fuerzas Armadas</w:t>
      </w:r>
      <w:r w:rsidR="00771549">
        <w:rPr>
          <w:rFonts w:ascii="Times New Roman" w:eastAsia="Times New Roman" w:hAnsi="Times New Roman" w:cs="Times New Roman"/>
          <w:color w:val="000000"/>
        </w:rPr>
        <w:t>,</w:t>
      </w:r>
      <w:r w:rsidRPr="00AD6CBD">
        <w:rPr>
          <w:rFonts w:ascii="Times New Roman" w:eastAsia="Times New Roman" w:hAnsi="Times New Roman" w:cs="Times New Roman"/>
          <w:color w:val="000000"/>
        </w:rPr>
        <w:t xml:space="preserve"> que es un</w:t>
      </w:r>
      <w:r w:rsidR="00771549">
        <w:rPr>
          <w:rFonts w:ascii="Times New Roman" w:eastAsia="Times New Roman" w:hAnsi="Times New Roman" w:cs="Times New Roman"/>
          <w:color w:val="000000"/>
        </w:rPr>
        <w:t>a</w:t>
      </w:r>
      <w:r w:rsidRPr="00AD6CBD">
        <w:rPr>
          <w:rFonts w:ascii="Times New Roman" w:eastAsia="Times New Roman" w:hAnsi="Times New Roman" w:cs="Times New Roman"/>
          <w:color w:val="000000"/>
        </w:rPr>
        <w:t xml:space="preserve"> </w:t>
      </w:r>
      <w:r w:rsidR="00771549">
        <w:rPr>
          <w:rFonts w:ascii="Times New Roman" w:eastAsia="Times New Roman" w:hAnsi="Times New Roman" w:cs="Times New Roman"/>
          <w:color w:val="000000"/>
        </w:rPr>
        <w:t>entidad</w:t>
      </w:r>
      <w:r w:rsidRPr="00AD6CBD">
        <w:rPr>
          <w:rFonts w:ascii="Times New Roman" w:eastAsia="Times New Roman" w:hAnsi="Times New Roman" w:cs="Times New Roman"/>
          <w:color w:val="000000"/>
        </w:rPr>
        <w:t xml:space="preserve"> que forma parte del Sector Defensa que tiene </w:t>
      </w:r>
      <w:r w:rsidR="00771549">
        <w:rPr>
          <w:rFonts w:ascii="Times New Roman" w:eastAsia="Times New Roman" w:hAnsi="Times New Roman" w:cs="Times New Roman"/>
          <w:color w:val="000000"/>
        </w:rPr>
        <w:t>su</w:t>
      </w:r>
      <w:r w:rsidRPr="00AD6CBD">
        <w:rPr>
          <w:rFonts w:ascii="Times New Roman" w:eastAsia="Times New Roman" w:hAnsi="Times New Roman" w:cs="Times New Roman"/>
          <w:color w:val="000000"/>
        </w:rPr>
        <w:t xml:space="preserve"> participación en la preparación y respuesta ante sucesos de desastre, en función a sus competencias y en coordinación y apoyo de los funcionarios o autoridad competente, de acuerdo a lo establecido</w:t>
      </w:r>
      <w:r>
        <w:rPr>
          <w:rFonts w:ascii="Times New Roman" w:eastAsia="Times New Roman" w:hAnsi="Times New Roman" w:cs="Times New Roman"/>
          <w:color w:val="000000"/>
        </w:rPr>
        <w:t xml:space="preserve"> </w:t>
      </w:r>
      <w:r w:rsidRPr="00AD6CBD">
        <w:rPr>
          <w:rFonts w:ascii="Times New Roman" w:eastAsia="Times New Roman" w:hAnsi="Times New Roman" w:cs="Times New Roman"/>
          <w:color w:val="000000"/>
        </w:rPr>
        <w:t xml:space="preserve">por el </w:t>
      </w:r>
      <w:r w:rsidRPr="00AD6CBD">
        <w:rPr>
          <w:rFonts w:ascii="Times New Roman" w:eastAsia="Times New Roman" w:hAnsi="Times New Roman" w:cs="Times New Roman"/>
          <w:color w:val="000000"/>
        </w:rPr>
        <w:lastRenderedPageBreak/>
        <w:t xml:space="preserve">SINAGERD. Las Fuerzas Armadas participan de oficio en la atención de emergencia aun cuando no se haya declarado un estado de emergencia y asignaran las </w:t>
      </w:r>
      <w:r w:rsidR="00771549">
        <w:rPr>
          <w:rFonts w:ascii="Times New Roman" w:eastAsia="Times New Roman" w:hAnsi="Times New Roman" w:cs="Times New Roman"/>
          <w:color w:val="000000"/>
        </w:rPr>
        <w:t>medidas</w:t>
      </w:r>
      <w:r w:rsidRPr="00AD6CBD">
        <w:rPr>
          <w:rFonts w:ascii="Times New Roman" w:eastAsia="Times New Roman" w:hAnsi="Times New Roman" w:cs="Times New Roman"/>
          <w:color w:val="000000"/>
        </w:rPr>
        <w:t xml:space="preserve"> presupuestales convenientes para garantizar su intervención. (Ley N°29664, 2012).</w:t>
      </w:r>
    </w:p>
    <w:p w14:paraId="7AF07D8E" w14:textId="20C169BB" w:rsidR="00F87DC9" w:rsidRPr="00F325C7" w:rsidRDefault="00F87DC9" w:rsidP="00F87DC9">
      <w:pPr>
        <w:rPr>
          <w:rFonts w:ascii="Times New Roman" w:eastAsia="Times New Roman" w:hAnsi="Times New Roman" w:cs="Times New Roman"/>
          <w:b/>
          <w:bCs/>
          <w:color w:val="000000"/>
        </w:rPr>
      </w:pPr>
      <w:r w:rsidRPr="00A17CD1">
        <w:rPr>
          <w:rFonts w:ascii="Times New Roman" w:eastAsia="Times New Roman" w:hAnsi="Times New Roman" w:cs="Times New Roman"/>
          <w:b/>
          <w:bCs/>
          <w:color w:val="000000"/>
        </w:rPr>
        <w:t>Defensa</w:t>
      </w:r>
    </w:p>
    <w:p w14:paraId="0A1FC1EA" w14:textId="0904B104" w:rsidR="00F325C7" w:rsidRDefault="00AD6CBD" w:rsidP="00F325C7">
      <w:pPr>
        <w:ind w:left="426" w:firstLine="567"/>
        <w:jc w:val="both"/>
        <w:rPr>
          <w:rFonts w:ascii="Times New Roman" w:eastAsia="Times New Roman" w:hAnsi="Times New Roman" w:cs="Times New Roman"/>
          <w:color w:val="000000"/>
        </w:rPr>
      </w:pPr>
      <w:r w:rsidRPr="00AD6CBD">
        <w:rPr>
          <w:rFonts w:ascii="Times New Roman" w:eastAsia="Times New Roman" w:hAnsi="Times New Roman" w:cs="Times New Roman"/>
          <w:color w:val="000000"/>
        </w:rPr>
        <w:t>El termino de Defensa proviene del latín y está asociada al verbo defender. Esta acción se refiere a cuidar, resguardar o conservar algo. La defensa, por lo tanto, es aquello que brinda protección de alguna forma o es el resultado de defenderse</w:t>
      </w:r>
      <w:r>
        <w:rPr>
          <w:rFonts w:ascii="Times New Roman" w:eastAsia="Times New Roman" w:hAnsi="Times New Roman" w:cs="Times New Roman"/>
          <w:color w:val="000000"/>
        </w:rPr>
        <w:t>.</w:t>
      </w:r>
    </w:p>
    <w:p w14:paraId="747D929C" w14:textId="56DE1D6E" w:rsidR="008D546D" w:rsidRDefault="008D546D" w:rsidP="00EB25F9">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En lo que se refiere a defensa nacional es un conjunto de diligencias militares y políticas que se realizan para evitar o responder las agresiones militares que eventualmente pueden cometer otros países o amenazas que pueden cometer distintos grupos de poder, como terroristas, movimientos sociales, instituciones no gubernamentales o empresas transnacionales. Las operaciones más habituales asociadas a la defensa nacional son los que están relacionadas a las FFAA y a la guerra; sin embargo, también hay otras tareas asociadas a la defensa nacional como el desarrollo de la tecnología, la investigación, el provisionamiento de alimentos y materias primas, la industria y la ocupación territorial (Nicole Elizabeth Carbajal, 2016)</w:t>
      </w:r>
    </w:p>
    <w:p w14:paraId="5D8704FF" w14:textId="50B10CEC" w:rsidR="008D546D" w:rsidRP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Además, la Defensa Nacional es percibido como un instrumento de la acción de la Política Nacional y tiene el compromiso de velar por la seguridad del país. Ello exige que las diferentes actividades que ella demanda se sitúe dentro de una adecuada estructura que conserve una conveniente interrelación con los distintos organismos y dependencias que lo conforman, así como en las actividades y funciones que cumplen, de modo que constituya un todo coherente y armónico, cuya tarea cumpla la importan misión constitucional de asegurar la seguridad del país. (Nicole Elizabeth Carbajal ,2016)</w:t>
      </w:r>
    </w:p>
    <w:p w14:paraId="1ADE1ED1" w14:textId="2D5E84F2" w:rsidR="008D546D" w:rsidRP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En el Libro Blanco de la Defensa Nacional, en su Capítulo III de la Política de Estado para la Seguridad y la Defensa Nacional tipifica las diferentes previsiones, acciones y medidas que el Estado adopta, genera y</w:t>
      </w:r>
      <w:r>
        <w:rPr>
          <w:rFonts w:ascii="Times New Roman" w:eastAsia="Times New Roman" w:hAnsi="Times New Roman" w:cs="Times New Roman"/>
          <w:color w:val="000000"/>
        </w:rPr>
        <w:t xml:space="preserve"> </w:t>
      </w:r>
      <w:r w:rsidRPr="008D546D">
        <w:rPr>
          <w:rFonts w:ascii="Times New Roman" w:eastAsia="Times New Roman" w:hAnsi="Times New Roman" w:cs="Times New Roman"/>
          <w:color w:val="000000"/>
        </w:rPr>
        <w:lastRenderedPageBreak/>
        <w:t>ejecuta de manera permanente e integral, se ejerce en el contexto interno y externo. Todo sujeto natural y jurídico tiene la obligación de participar en la Defensa Nacional. El Estado debe asegurar la Seguridad de la Nación a través del Sistema de Seguridad y Defensa Nacional, que establece la necesidad de preparar, ejercer y dirigir la Defensa Nacional en todo el ámbito de la actividad nacional. La Política de Seguridad y Defensa Nacional se trata de una política de Estado que tiene el objetivo de encaminar la selección, preparación y utilización de los medios del Estado para garantizar la seguridad nacional tanto en el frente de nivel externo e interno. La Política considera un conjunto de lineamientos generales para estructurar, coordinar y armonizar los esfuerzos de los campos de acción del Estado: Defensa y Desarrollo, para hacer frente a los obstáculos, riesgos, amenazas o desafíos contra la seguridad y los intereses del Estado. (Libro Blanco de la Defensa Nacional, 2006)</w:t>
      </w:r>
    </w:p>
    <w:p w14:paraId="79ED99E1" w14:textId="23C765F5" w:rsidR="008D546D" w:rsidRP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 xml:space="preserve">La Política de Estado para la Defensa y la Seguridad Nacional fue aprobada bajo Decreto Supremo N° 001-B-2004-DE-SG posteriormente se derogo y se aprobó la Política de Seguridad y Defensa Nacional por medio del Decreto Supremo N° 012-2017-DE. En la Política se toma en consideración la Gestión de Riesgo de Desastres y ello se considera en el diagnóstico que se considera las capacidades de Gestión de Riesgo de Desastres donde se considera las normativas nacionales que se han aprobado en el país en donde se destaca la mención a la Ley </w:t>
      </w:r>
      <w:r w:rsidR="00771549">
        <w:rPr>
          <w:rFonts w:ascii="Times New Roman" w:eastAsia="Times New Roman" w:hAnsi="Times New Roman" w:cs="Times New Roman"/>
          <w:color w:val="000000"/>
        </w:rPr>
        <w:t xml:space="preserve">N° </w:t>
      </w:r>
      <w:r w:rsidRPr="008D546D">
        <w:rPr>
          <w:rFonts w:ascii="Times New Roman" w:eastAsia="Times New Roman" w:hAnsi="Times New Roman" w:cs="Times New Roman"/>
          <w:color w:val="000000"/>
        </w:rPr>
        <w:t>29664, la Política Nacional de Gestión de Riesgo de Desastres y el Plan Nacional de Gestión de Riesgo de Desastres 2014-2021. (Política para la Defensa y Seguridad Nacional, 2017)</w:t>
      </w:r>
    </w:p>
    <w:p w14:paraId="35DE566C" w14:textId="77777777" w:rsidR="008D546D" w:rsidRP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 xml:space="preserve">De la Política se definieron 3 objetivos donde el Objetivo 2. </w:t>
      </w:r>
      <w:r w:rsidRPr="008D546D">
        <w:rPr>
          <w:rFonts w:ascii="Times New Roman" w:eastAsia="Times New Roman" w:hAnsi="Times New Roman" w:cs="Times New Roman"/>
          <w:i/>
          <w:color w:val="000000"/>
        </w:rPr>
        <w:t xml:space="preserve">Garantizar el orden interno contribuyendo al normal funcionamiento de la institucionalidad Política y Jurídica del Estado </w:t>
      </w:r>
      <w:r w:rsidRPr="008D546D">
        <w:rPr>
          <w:rFonts w:ascii="Times New Roman" w:eastAsia="Times New Roman" w:hAnsi="Times New Roman" w:cs="Times New Roman"/>
          <w:color w:val="000000"/>
        </w:rPr>
        <w:t>donde se considera el Lineamiento 3: Fortalecer los sistemas de seguridad ciudadana, gestión del riesgo de desastres, de inteligencia nacional y otros que coadyuven a garantizar la seguridad nacional. (Política para la Defensa y Seguridad Nacional, 2017)</w:t>
      </w:r>
    </w:p>
    <w:p w14:paraId="2DA6305F" w14:textId="77777777" w:rsidR="008D546D" w:rsidRP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 xml:space="preserve"> </w:t>
      </w:r>
    </w:p>
    <w:p w14:paraId="221BE5FF" w14:textId="5B9A7CC2" w:rsidR="008D546D" w:rsidRDefault="008D546D" w:rsidP="008D546D">
      <w:pPr>
        <w:ind w:left="426"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lastRenderedPageBreak/>
        <w:t>El Lineamiento de la Política para la Defensa y Seguridad Nacional se alinea con la Política Nacional de GRD al 2050 en su OP.3. Mejorar la implementación articulada de la gestión del riesgo de desastres en el territorio.</w:t>
      </w:r>
    </w:p>
    <w:p w14:paraId="478E8A56" w14:textId="77777777" w:rsidR="008D546D" w:rsidRDefault="008D546D" w:rsidP="00EB25F9">
      <w:pPr>
        <w:ind w:left="426" w:firstLine="567"/>
        <w:jc w:val="both"/>
        <w:rPr>
          <w:rFonts w:ascii="Times New Roman" w:eastAsia="Times New Roman" w:hAnsi="Times New Roman" w:cs="Times New Roman"/>
          <w:color w:val="000000"/>
        </w:rPr>
      </w:pPr>
    </w:p>
    <w:p w14:paraId="1C0F2DEE" w14:textId="6C4CC44E" w:rsidR="00BF449A" w:rsidRPr="00FC4809" w:rsidRDefault="00F87DC9" w:rsidP="00FC4809">
      <w:pPr>
        <w:ind w:left="426" w:firstLine="567"/>
        <w:jc w:val="both"/>
        <w:rPr>
          <w:rFonts w:ascii="Times New Roman" w:eastAsia="Times New Roman" w:hAnsi="Times New Roman" w:cs="Times New Roman"/>
          <w:color w:val="000000"/>
          <w:lang w:val="es-ES_tradnl"/>
        </w:rPr>
      </w:pPr>
      <w:r>
        <w:rPr>
          <w:rFonts w:ascii="Times New Roman" w:eastAsia="Times New Roman" w:hAnsi="Times New Roman" w:cs="Times New Roman"/>
          <w:color w:val="000000"/>
        </w:rPr>
        <w:t xml:space="preserve"> </w:t>
      </w:r>
    </w:p>
    <w:p w14:paraId="4424002C" w14:textId="77777777" w:rsidR="00FB1F3F" w:rsidRDefault="00FB1F3F">
      <w:pPr>
        <w:pBdr>
          <w:top w:val="nil"/>
          <w:left w:val="nil"/>
          <w:bottom w:val="nil"/>
          <w:right w:val="nil"/>
          <w:between w:val="nil"/>
        </w:pBdr>
        <w:spacing w:after="0"/>
        <w:ind w:left="142"/>
        <w:jc w:val="center"/>
        <w:rPr>
          <w:rFonts w:ascii="Times New Roman" w:eastAsia="Times New Roman" w:hAnsi="Times New Roman" w:cs="Times New Roman"/>
          <w:b/>
          <w:color w:val="000000"/>
        </w:rPr>
      </w:pPr>
    </w:p>
    <w:p w14:paraId="0B705CAF" w14:textId="77777777" w:rsidR="00014740" w:rsidRDefault="00014740">
      <w:pPr>
        <w:pBdr>
          <w:top w:val="nil"/>
          <w:left w:val="nil"/>
          <w:bottom w:val="nil"/>
          <w:right w:val="nil"/>
          <w:between w:val="nil"/>
        </w:pBdr>
        <w:spacing w:after="0"/>
        <w:ind w:left="142"/>
        <w:jc w:val="center"/>
        <w:rPr>
          <w:rFonts w:ascii="Times New Roman" w:eastAsia="Times New Roman" w:hAnsi="Times New Roman" w:cs="Times New Roman"/>
          <w:b/>
          <w:color w:val="000000"/>
        </w:rPr>
        <w:sectPr w:rsidR="00014740">
          <w:pgSz w:w="11906" w:h="16838"/>
          <w:pgMar w:top="1701" w:right="1701" w:bottom="1701" w:left="2268" w:header="709" w:footer="709" w:gutter="0"/>
          <w:cols w:space="720"/>
          <w:titlePg/>
        </w:sectPr>
      </w:pPr>
    </w:p>
    <w:p w14:paraId="0262B11C" w14:textId="1C43FED7" w:rsidR="00657D48" w:rsidRPr="00014740" w:rsidRDefault="003F3EEB" w:rsidP="00014740">
      <w:pPr>
        <w:pStyle w:val="Ttulo1"/>
      </w:pPr>
      <w:bookmarkStart w:id="91" w:name="_Toc117518918"/>
      <w:r w:rsidRPr="00014740">
        <w:rPr>
          <w:color w:val="000000"/>
        </w:rPr>
        <w:lastRenderedPageBreak/>
        <w:t>CAPÍTULO III.</w:t>
      </w:r>
      <w:bookmarkEnd w:id="91"/>
    </w:p>
    <w:p w14:paraId="1F313D37" w14:textId="3B6653F0" w:rsidR="00657D48" w:rsidRPr="00014740" w:rsidRDefault="003F3EEB" w:rsidP="00014740">
      <w:pPr>
        <w:pStyle w:val="Ttulo1"/>
      </w:pPr>
      <w:bookmarkStart w:id="92" w:name="_Toc117518919"/>
      <w:r w:rsidRPr="00014740">
        <w:rPr>
          <w:color w:val="000000"/>
        </w:rPr>
        <w:t>Hipótesis y variables</w:t>
      </w:r>
      <w:bookmarkEnd w:id="92"/>
    </w:p>
    <w:p w14:paraId="3F0629BF" w14:textId="1785F967" w:rsidR="00657D48" w:rsidRPr="00014740" w:rsidRDefault="003F3EEB" w:rsidP="00014740">
      <w:pPr>
        <w:pStyle w:val="Ttulo1"/>
        <w:jc w:val="left"/>
      </w:pPr>
      <w:bookmarkStart w:id="93" w:name="_3ls5o66" w:colFirst="0" w:colLast="0"/>
      <w:bookmarkStart w:id="94" w:name="_Toc117518920"/>
      <w:bookmarkEnd w:id="93"/>
      <w:r w:rsidRPr="00014740">
        <w:t>3.1 Variables de estudio</w:t>
      </w:r>
      <w:bookmarkEnd w:id="94"/>
    </w:p>
    <w:p w14:paraId="6A7C48CB" w14:textId="132CF28D" w:rsidR="00657D48" w:rsidRPr="00014740" w:rsidRDefault="003F3EEB" w:rsidP="00014740">
      <w:pPr>
        <w:pStyle w:val="Ttulo1"/>
        <w:ind w:firstLine="426"/>
        <w:jc w:val="left"/>
      </w:pPr>
      <w:bookmarkStart w:id="95" w:name="_20xfydz" w:colFirst="0" w:colLast="0"/>
      <w:bookmarkStart w:id="96" w:name="_Toc117518921"/>
      <w:bookmarkEnd w:id="95"/>
      <w:r w:rsidRPr="00014740">
        <w:rPr>
          <w:color w:val="000000"/>
        </w:rPr>
        <w:t>3.1.1 Definición conceptual</w:t>
      </w:r>
      <w:bookmarkEnd w:id="96"/>
    </w:p>
    <w:p w14:paraId="3D018DBB" w14:textId="77777777" w:rsidR="00657D48" w:rsidRDefault="003F3EEB">
      <w:pPr>
        <w:tabs>
          <w:tab w:val="left" w:pos="8222"/>
        </w:tabs>
        <w:spacing w:after="200"/>
        <w:ind w:left="426"/>
        <w:rPr>
          <w:rFonts w:ascii="Times New Roman" w:eastAsia="Times New Roman" w:hAnsi="Times New Roman" w:cs="Times New Roman"/>
          <w:b/>
        </w:rPr>
      </w:pPr>
      <w:r>
        <w:rPr>
          <w:rFonts w:ascii="Times New Roman" w:eastAsia="Times New Roman" w:hAnsi="Times New Roman" w:cs="Times New Roman"/>
          <w:b/>
        </w:rPr>
        <w:t>Variable 1:</w:t>
      </w:r>
      <w:r>
        <w:rPr>
          <w:rFonts w:ascii="Times New Roman" w:eastAsia="Times New Roman" w:hAnsi="Times New Roman" w:cs="Times New Roman"/>
        </w:rPr>
        <w:t xml:space="preserve"> </w:t>
      </w:r>
      <w:r>
        <w:rPr>
          <w:rFonts w:ascii="Times New Roman" w:eastAsia="Times New Roman" w:hAnsi="Times New Roman" w:cs="Times New Roman"/>
          <w:b/>
        </w:rPr>
        <w:t>Gestión del Riesgo de Desastres</w:t>
      </w:r>
    </w:p>
    <w:p w14:paraId="7FA70DAE" w14:textId="251F501D" w:rsidR="00657D48" w:rsidRDefault="008D546D">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Se define de forma genérica, como un proceso social cuyo objetivo es prevenir, reducir y tener un control constante de los factores de riesgos de desastres que existen en zonas específicas; además de la preparación y respuesta frente a desastres, integrando políticas en materia económica, ambiental, Defensa Nacional, seguridad y territorial. (Narváez, et al., 2009)</w:t>
      </w:r>
    </w:p>
    <w:p w14:paraId="46C4C8BE" w14:textId="77777777" w:rsidR="00657D48" w:rsidRPr="00CA4EFA" w:rsidRDefault="003F3EEB">
      <w:pPr>
        <w:pBdr>
          <w:top w:val="nil"/>
          <w:left w:val="nil"/>
          <w:bottom w:val="nil"/>
          <w:right w:val="nil"/>
          <w:between w:val="nil"/>
        </w:pBdr>
        <w:tabs>
          <w:tab w:val="left" w:pos="8222"/>
        </w:tabs>
        <w:spacing w:after="200"/>
        <w:ind w:left="426"/>
        <w:jc w:val="both"/>
        <w:rPr>
          <w:rFonts w:ascii="Times New Roman" w:eastAsia="Times New Roman" w:hAnsi="Times New Roman" w:cs="Times New Roman"/>
          <w:b/>
          <w:color w:val="000000"/>
        </w:rPr>
      </w:pPr>
      <w:r w:rsidRPr="00CA4EFA">
        <w:rPr>
          <w:rFonts w:ascii="Times New Roman" w:eastAsia="Times New Roman" w:hAnsi="Times New Roman" w:cs="Times New Roman"/>
          <w:b/>
          <w:color w:val="000000"/>
        </w:rPr>
        <w:t>Variable 2</w:t>
      </w:r>
      <w:r w:rsidRPr="00CA4EFA">
        <w:rPr>
          <w:rFonts w:ascii="Times New Roman" w:eastAsia="Times New Roman" w:hAnsi="Times New Roman" w:cs="Times New Roman"/>
          <w:color w:val="000000"/>
        </w:rPr>
        <w:t xml:space="preserve">: </w:t>
      </w:r>
      <w:r w:rsidRPr="00CA4EFA">
        <w:rPr>
          <w:rFonts w:ascii="Times New Roman" w:eastAsia="Times New Roman" w:hAnsi="Times New Roman" w:cs="Times New Roman"/>
          <w:b/>
          <w:color w:val="000000"/>
        </w:rPr>
        <w:t>Competencia en el Sector Defensa</w:t>
      </w:r>
    </w:p>
    <w:p w14:paraId="2AE4C933" w14:textId="53721FB3" w:rsidR="00657D48" w:rsidRDefault="008D546D" w:rsidP="008D546D">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rPr>
        <w:sectPr w:rsidR="00657D48">
          <w:pgSz w:w="11906" w:h="16838"/>
          <w:pgMar w:top="1701" w:right="1701" w:bottom="1701" w:left="2268" w:header="709" w:footer="709" w:gutter="0"/>
          <w:cols w:space="720"/>
          <w:titlePg/>
        </w:sectPr>
      </w:pPr>
      <w:r w:rsidRPr="008D546D">
        <w:rPr>
          <w:rFonts w:ascii="Times New Roman" w:eastAsia="Times New Roman" w:hAnsi="Times New Roman" w:cs="Times New Roman"/>
          <w:color w:val="000000"/>
        </w:rPr>
        <w:t>De acuerdo a la Política Nacional de gestión del riesgo de desastres, las competencias del Sector Defensa, comprende la incorporación de componentes y procesos de la Gestión del Riesgo de Desastres, intrínsecamente en toda su organización, así como fomentar la cultura de prevención como tarea fundamental para el desarrollo y el fortalecimiento institucional, generar capacidades para aplicar medidas estratégicas, operativas y financieras que sean útiles en la disminución de los riesgos de su propia actividad y evitar la aparición de nuevos riesgos. (Directiva N° 021-2020- DE/SG/VPD/DIGEPE/DIRMOV, 2020).</w:t>
      </w:r>
    </w:p>
    <w:p w14:paraId="26078385" w14:textId="648E609A" w:rsidR="00657D48" w:rsidRPr="00014740" w:rsidRDefault="003F3EEB" w:rsidP="00014740">
      <w:pPr>
        <w:pStyle w:val="Ttulo1"/>
        <w:jc w:val="left"/>
      </w:pPr>
      <w:bookmarkStart w:id="97" w:name="_Toc117518922"/>
      <w:r w:rsidRPr="00014740">
        <w:lastRenderedPageBreak/>
        <w:t>3.1.2 Definición operacional</w:t>
      </w:r>
      <w:bookmarkEnd w:id="97"/>
      <w:r w:rsidRPr="00014740">
        <w:t xml:space="preserve"> </w:t>
      </w:r>
    </w:p>
    <w:p w14:paraId="094D3E91" w14:textId="77777777" w:rsidR="00657D48" w:rsidRDefault="003F3EEB">
      <w:pPr>
        <w:spacing w:after="200"/>
        <w:rPr>
          <w:rFonts w:ascii="Times New Roman" w:eastAsia="Times New Roman" w:hAnsi="Times New Roman" w:cs="Times New Roman"/>
          <w:b/>
        </w:rPr>
      </w:pPr>
      <w:bookmarkStart w:id="98" w:name="_4kx3h1s" w:colFirst="0" w:colLast="0"/>
      <w:bookmarkEnd w:id="98"/>
      <w:r>
        <w:rPr>
          <w:rFonts w:ascii="Times New Roman" w:eastAsia="Times New Roman" w:hAnsi="Times New Roman" w:cs="Times New Roman"/>
          <w:b/>
        </w:rPr>
        <w:t>Variable 1: Gestión del Riesgo de Desastres</w:t>
      </w:r>
    </w:p>
    <w:p w14:paraId="7365EB75" w14:textId="3A22B8DF" w:rsidR="00657D48" w:rsidRPr="00AF3701" w:rsidRDefault="00AF3701" w:rsidP="00AF3701">
      <w:pPr>
        <w:pStyle w:val="Descripcin"/>
        <w:rPr>
          <w:rFonts w:ascii="Times New Roman" w:eastAsia="Times New Roman" w:hAnsi="Times New Roman" w:cs="Times New Roman"/>
          <w:b/>
          <w:i w:val="0"/>
          <w:color w:val="auto"/>
          <w:sz w:val="24"/>
        </w:rPr>
      </w:pPr>
      <w:bookmarkStart w:id="99" w:name="_302dr9l" w:colFirst="0" w:colLast="0"/>
      <w:bookmarkStart w:id="100" w:name="_Toc116591658"/>
      <w:bookmarkEnd w:id="99"/>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w:t>
      </w:r>
      <w:r w:rsidRPr="00AF3701">
        <w:rPr>
          <w:rFonts w:ascii="Times New Roman" w:hAnsi="Times New Roman" w:cs="Times New Roman"/>
          <w:b/>
          <w:i w:val="0"/>
          <w:color w:val="auto"/>
          <w:sz w:val="24"/>
        </w:rPr>
        <w:fldChar w:fldCharType="end"/>
      </w:r>
      <w:r w:rsidR="003F3EEB" w:rsidRPr="00AF3701">
        <w:rPr>
          <w:rFonts w:ascii="Times New Roman" w:eastAsia="Times New Roman" w:hAnsi="Times New Roman" w:cs="Times New Roman"/>
          <w:b/>
          <w:i w:val="0"/>
          <w:color w:val="auto"/>
          <w:sz w:val="24"/>
        </w:rPr>
        <w:t>.</w:t>
      </w:r>
      <w:bookmarkEnd w:id="100"/>
    </w:p>
    <w:p w14:paraId="2806DCD8" w14:textId="77777777" w:rsidR="00657D48" w:rsidRDefault="003F3EEB">
      <w:pPr>
        <w:spacing w:after="40" w:line="240" w:lineRule="auto"/>
        <w:jc w:val="both"/>
        <w:rPr>
          <w:rFonts w:ascii="Times New Roman" w:eastAsia="Times New Roman" w:hAnsi="Times New Roman" w:cs="Times New Roman"/>
          <w:i/>
        </w:rPr>
      </w:pPr>
      <w:r>
        <w:rPr>
          <w:rFonts w:ascii="Times New Roman" w:eastAsia="Times New Roman" w:hAnsi="Times New Roman" w:cs="Times New Roman"/>
          <w:i/>
        </w:rPr>
        <w:t>Matriz de operacionalización de la variable Gestión del Riesgo de Desastres</w:t>
      </w:r>
    </w:p>
    <w:tbl>
      <w:tblPr>
        <w:tblStyle w:val="a"/>
        <w:tblW w:w="13453" w:type="dxa"/>
        <w:tblInd w:w="-5" w:type="dxa"/>
        <w:tblBorders>
          <w:top w:val="single" w:sz="4" w:space="0" w:color="7F7F7F"/>
          <w:left w:val="nil"/>
          <w:bottom w:val="single" w:sz="4" w:space="0" w:color="7F7F7F"/>
          <w:right w:val="nil"/>
          <w:insideH w:val="nil"/>
          <w:insideV w:val="nil"/>
        </w:tblBorders>
        <w:tblLayout w:type="fixed"/>
        <w:tblLook w:val="0400" w:firstRow="0" w:lastRow="0" w:firstColumn="0" w:lastColumn="0" w:noHBand="0" w:noVBand="1"/>
      </w:tblPr>
      <w:tblGrid>
        <w:gridCol w:w="1188"/>
        <w:gridCol w:w="1360"/>
        <w:gridCol w:w="2013"/>
        <w:gridCol w:w="8892"/>
      </w:tblGrid>
      <w:tr w:rsidR="00657D48" w14:paraId="4F7FE095" w14:textId="77777777">
        <w:trPr>
          <w:trHeight w:val="295"/>
        </w:trPr>
        <w:tc>
          <w:tcPr>
            <w:tcW w:w="13453" w:type="dxa"/>
            <w:gridSpan w:val="4"/>
            <w:tcBorders>
              <w:top w:val="single" w:sz="4" w:space="0" w:color="000000"/>
              <w:bottom w:val="single" w:sz="4" w:space="0" w:color="000000"/>
            </w:tcBorders>
            <w:vAlign w:val="center"/>
          </w:tcPr>
          <w:p w14:paraId="2A530F54" w14:textId="77777777" w:rsidR="00657D48" w:rsidRDefault="003F3EEB">
            <w:pPr>
              <w:pBdr>
                <w:top w:val="nil"/>
                <w:left w:val="nil"/>
                <w:bottom w:val="nil"/>
                <w:right w:val="nil"/>
                <w:between w:val="nil"/>
              </w:pBdr>
              <w:tabs>
                <w:tab w:val="left" w:pos="8222"/>
              </w:tabs>
              <w:spacing w:after="240" w:line="360" w:lineRule="auto"/>
              <w:jc w:val="center"/>
              <w:rPr>
                <w:b/>
                <w:color w:val="000000"/>
              </w:rPr>
            </w:pPr>
            <w:r>
              <w:rPr>
                <w:b/>
                <w:color w:val="000000"/>
              </w:rPr>
              <w:t>Operacionalización de la variable Gestión del Riesgo de Desastres</w:t>
            </w:r>
          </w:p>
        </w:tc>
      </w:tr>
      <w:tr w:rsidR="00657D48" w14:paraId="23CFF05F" w14:textId="77777777">
        <w:trPr>
          <w:trHeight w:val="586"/>
        </w:trPr>
        <w:tc>
          <w:tcPr>
            <w:tcW w:w="13453" w:type="dxa"/>
            <w:gridSpan w:val="4"/>
            <w:tcBorders>
              <w:top w:val="single" w:sz="4" w:space="0" w:color="000000"/>
            </w:tcBorders>
            <w:vAlign w:val="center"/>
          </w:tcPr>
          <w:p w14:paraId="77D79083"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b/>
                <w:color w:val="000000"/>
              </w:rPr>
              <w:t xml:space="preserve">Definición operacional: </w:t>
            </w:r>
            <w:r>
              <w:rPr>
                <w:color w:val="000000"/>
              </w:rPr>
              <w:t>La variable Gestión del Riesgo de Desastre fue medida mediante un cuestionario de 20 ítems orientadas a las dimensiones de proceso de Reducción de Riesgo, proceso de Preparación y proceso de Respuesta, priorizando alternativas de Escala Likert.</w:t>
            </w:r>
          </w:p>
        </w:tc>
      </w:tr>
      <w:tr w:rsidR="00657D48" w14:paraId="27D76857" w14:textId="77777777">
        <w:trPr>
          <w:trHeight w:val="293"/>
        </w:trPr>
        <w:tc>
          <w:tcPr>
            <w:tcW w:w="13453" w:type="dxa"/>
            <w:gridSpan w:val="4"/>
            <w:tcBorders>
              <w:bottom w:val="single" w:sz="4" w:space="0" w:color="000000"/>
            </w:tcBorders>
            <w:vAlign w:val="center"/>
          </w:tcPr>
          <w:p w14:paraId="7B452CDF"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Instrumento: Encuesta</w:t>
            </w:r>
          </w:p>
        </w:tc>
      </w:tr>
      <w:tr w:rsidR="00657D48" w14:paraId="59348142" w14:textId="77777777">
        <w:trPr>
          <w:trHeight w:val="340"/>
        </w:trPr>
        <w:tc>
          <w:tcPr>
            <w:tcW w:w="1188" w:type="dxa"/>
            <w:tcBorders>
              <w:top w:val="single" w:sz="4" w:space="0" w:color="000000"/>
              <w:bottom w:val="single" w:sz="4" w:space="0" w:color="000000"/>
            </w:tcBorders>
            <w:vAlign w:val="center"/>
          </w:tcPr>
          <w:p w14:paraId="0DCA98DE"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Variable</w:t>
            </w:r>
          </w:p>
        </w:tc>
        <w:tc>
          <w:tcPr>
            <w:tcW w:w="1360" w:type="dxa"/>
            <w:tcBorders>
              <w:top w:val="single" w:sz="4" w:space="0" w:color="000000"/>
              <w:bottom w:val="single" w:sz="4" w:space="0" w:color="000000"/>
            </w:tcBorders>
            <w:vAlign w:val="center"/>
          </w:tcPr>
          <w:p w14:paraId="30572629"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Dimensiones</w:t>
            </w:r>
          </w:p>
        </w:tc>
        <w:tc>
          <w:tcPr>
            <w:tcW w:w="2013" w:type="dxa"/>
            <w:tcBorders>
              <w:top w:val="single" w:sz="4" w:space="0" w:color="000000"/>
              <w:bottom w:val="single" w:sz="4" w:space="0" w:color="000000"/>
            </w:tcBorders>
            <w:vAlign w:val="center"/>
          </w:tcPr>
          <w:p w14:paraId="1A5FBE80"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Indicadores</w:t>
            </w:r>
          </w:p>
        </w:tc>
        <w:tc>
          <w:tcPr>
            <w:tcW w:w="8892" w:type="dxa"/>
            <w:tcBorders>
              <w:top w:val="single" w:sz="4" w:space="0" w:color="000000"/>
              <w:bottom w:val="single" w:sz="4" w:space="0" w:color="000000"/>
            </w:tcBorders>
            <w:vAlign w:val="center"/>
          </w:tcPr>
          <w:p w14:paraId="661BF28A" w14:textId="77777777" w:rsidR="00657D48" w:rsidRDefault="003F3EEB">
            <w:pPr>
              <w:pBdr>
                <w:top w:val="nil"/>
                <w:left w:val="nil"/>
                <w:bottom w:val="nil"/>
                <w:right w:val="nil"/>
                <w:between w:val="nil"/>
              </w:pBdr>
              <w:tabs>
                <w:tab w:val="left" w:pos="8222"/>
              </w:tabs>
              <w:spacing w:after="240" w:line="360" w:lineRule="auto"/>
              <w:rPr>
                <w:color w:val="000000"/>
              </w:rPr>
            </w:pPr>
            <w:r>
              <w:rPr>
                <w:color w:val="000000"/>
              </w:rPr>
              <w:t>Ítems del instrumento</w:t>
            </w:r>
          </w:p>
        </w:tc>
      </w:tr>
      <w:tr w:rsidR="00657D48" w14:paraId="35729912" w14:textId="77777777">
        <w:trPr>
          <w:trHeight w:val="987"/>
        </w:trPr>
        <w:tc>
          <w:tcPr>
            <w:tcW w:w="1188" w:type="dxa"/>
            <w:vMerge w:val="restart"/>
            <w:tcBorders>
              <w:top w:val="single" w:sz="4" w:space="0" w:color="000000"/>
            </w:tcBorders>
            <w:vAlign w:val="center"/>
          </w:tcPr>
          <w:p w14:paraId="4E4F94BF"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Gestión del Riesgo de Desastres</w:t>
            </w:r>
          </w:p>
        </w:tc>
        <w:tc>
          <w:tcPr>
            <w:tcW w:w="1360" w:type="dxa"/>
            <w:vMerge w:val="restart"/>
            <w:tcBorders>
              <w:top w:val="single" w:sz="4" w:space="0" w:color="000000"/>
              <w:bottom w:val="single" w:sz="4" w:space="0" w:color="000000"/>
            </w:tcBorders>
            <w:vAlign w:val="center"/>
          </w:tcPr>
          <w:p w14:paraId="5E0A4012"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Dimensión 1: Proceso de reducción de riesgo</w:t>
            </w:r>
          </w:p>
        </w:tc>
        <w:tc>
          <w:tcPr>
            <w:tcW w:w="2013" w:type="dxa"/>
            <w:tcBorders>
              <w:top w:val="single" w:sz="4" w:space="0" w:color="000000"/>
            </w:tcBorders>
            <w:vAlign w:val="center"/>
          </w:tcPr>
          <w:p w14:paraId="4A48E6D4" w14:textId="77777777" w:rsidR="00657D48" w:rsidRDefault="003F3EEB">
            <w:pPr>
              <w:pBdr>
                <w:top w:val="nil"/>
                <w:left w:val="nil"/>
                <w:bottom w:val="nil"/>
                <w:right w:val="nil"/>
                <w:between w:val="nil"/>
              </w:pBdr>
              <w:tabs>
                <w:tab w:val="left" w:pos="8222"/>
              </w:tabs>
              <w:spacing w:after="240" w:line="360" w:lineRule="auto"/>
              <w:ind w:left="47"/>
              <w:jc w:val="center"/>
              <w:rPr>
                <w:color w:val="000000"/>
              </w:rPr>
            </w:pPr>
            <w:r>
              <w:rPr>
                <w:color w:val="000000"/>
              </w:rPr>
              <w:t>Normatividad, lineamientos y herramientas</w:t>
            </w:r>
          </w:p>
        </w:tc>
        <w:tc>
          <w:tcPr>
            <w:tcW w:w="8892" w:type="dxa"/>
            <w:tcBorders>
              <w:top w:val="single" w:sz="4" w:space="0" w:color="000000"/>
            </w:tcBorders>
            <w:vAlign w:val="center"/>
          </w:tcPr>
          <w:p w14:paraId="69CC2942"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¿Cree Ud. que las normas y lineamientos para reducir el riesgo existente en el Sector son apropiados?</w:t>
            </w:r>
          </w:p>
          <w:p w14:paraId="5857A570"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¿Considera Ud. que las herramientas técnicas existentes son adecuadas para reducir el riesgo en el Sector?</w:t>
            </w:r>
          </w:p>
        </w:tc>
      </w:tr>
      <w:tr w:rsidR="00657D48" w14:paraId="25907FA4" w14:textId="77777777">
        <w:trPr>
          <w:trHeight w:val="1266"/>
        </w:trPr>
        <w:tc>
          <w:tcPr>
            <w:tcW w:w="1188" w:type="dxa"/>
            <w:vMerge/>
            <w:tcBorders>
              <w:top w:val="single" w:sz="4" w:space="0" w:color="000000"/>
            </w:tcBorders>
            <w:vAlign w:val="center"/>
          </w:tcPr>
          <w:p w14:paraId="08672A26"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bottom w:val="single" w:sz="4" w:space="0" w:color="000000"/>
            </w:tcBorders>
            <w:vAlign w:val="center"/>
          </w:tcPr>
          <w:p w14:paraId="78C8A8C7"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vAlign w:val="center"/>
          </w:tcPr>
          <w:p w14:paraId="44FFC43E" w14:textId="77777777" w:rsidR="00657D48" w:rsidRDefault="003F3EEB">
            <w:pPr>
              <w:tabs>
                <w:tab w:val="left" w:pos="8222"/>
              </w:tabs>
              <w:jc w:val="center"/>
            </w:pPr>
            <w:r>
              <w:t>Diagnóstico y acciones implementadas</w:t>
            </w:r>
          </w:p>
        </w:tc>
        <w:tc>
          <w:tcPr>
            <w:tcW w:w="8892" w:type="dxa"/>
            <w:vAlign w:val="center"/>
          </w:tcPr>
          <w:p w14:paraId="2318525F"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¿Cree Ud., que se ha analizado la situación de los elementos expuestos en las áreas donde se ha establecido niveles de riesgo en el Sector?</w:t>
            </w:r>
          </w:p>
          <w:p w14:paraId="771CC3CD"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¿Considera Ud. que se ha implementado adecuadamente las acciones de reducción de vulnerabilidad existentes en el Sector?</w:t>
            </w:r>
          </w:p>
        </w:tc>
      </w:tr>
      <w:tr w:rsidR="00657D48" w14:paraId="6371CD6D" w14:textId="77777777">
        <w:trPr>
          <w:trHeight w:val="679"/>
        </w:trPr>
        <w:tc>
          <w:tcPr>
            <w:tcW w:w="1188" w:type="dxa"/>
            <w:vMerge/>
            <w:tcBorders>
              <w:top w:val="single" w:sz="4" w:space="0" w:color="000000"/>
            </w:tcBorders>
            <w:vAlign w:val="center"/>
          </w:tcPr>
          <w:p w14:paraId="337D8D45"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bottom w:val="single" w:sz="4" w:space="0" w:color="000000"/>
            </w:tcBorders>
            <w:vAlign w:val="center"/>
          </w:tcPr>
          <w:p w14:paraId="72A16FF9"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vAlign w:val="center"/>
          </w:tcPr>
          <w:p w14:paraId="3651907B" w14:textId="77777777" w:rsidR="00657D48" w:rsidRDefault="003F3EEB">
            <w:pPr>
              <w:pBdr>
                <w:top w:val="nil"/>
                <w:left w:val="nil"/>
                <w:bottom w:val="nil"/>
                <w:right w:val="nil"/>
                <w:between w:val="nil"/>
              </w:pBdr>
              <w:tabs>
                <w:tab w:val="left" w:pos="8222"/>
              </w:tabs>
              <w:spacing w:after="240" w:line="360" w:lineRule="auto"/>
              <w:ind w:left="47"/>
              <w:jc w:val="center"/>
              <w:rPr>
                <w:color w:val="000000"/>
              </w:rPr>
            </w:pPr>
            <w:r>
              <w:rPr>
                <w:color w:val="000000"/>
              </w:rPr>
              <w:t>Monitoreo y Seguimiento</w:t>
            </w:r>
          </w:p>
        </w:tc>
        <w:tc>
          <w:tcPr>
            <w:tcW w:w="8892" w:type="dxa"/>
            <w:vAlign w:val="center"/>
          </w:tcPr>
          <w:p w14:paraId="72207D3F"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¿Cree Ud., que el monitoreo y seguimiento para el logro de los objetivos en materia de reducción del riesgo de desastres es el adecuado en el Sector?</w:t>
            </w:r>
          </w:p>
        </w:tc>
      </w:tr>
      <w:tr w:rsidR="00657D48" w14:paraId="5E4D43D8" w14:textId="77777777">
        <w:trPr>
          <w:trHeight w:val="69"/>
        </w:trPr>
        <w:tc>
          <w:tcPr>
            <w:tcW w:w="1188" w:type="dxa"/>
            <w:vMerge/>
            <w:tcBorders>
              <w:top w:val="single" w:sz="4" w:space="0" w:color="000000"/>
            </w:tcBorders>
            <w:vAlign w:val="center"/>
          </w:tcPr>
          <w:p w14:paraId="1FE2AC09"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bottom w:val="single" w:sz="4" w:space="0" w:color="000000"/>
            </w:tcBorders>
            <w:vAlign w:val="center"/>
          </w:tcPr>
          <w:p w14:paraId="55EE9C27"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vAlign w:val="center"/>
          </w:tcPr>
          <w:p w14:paraId="3DE95790" w14:textId="77777777" w:rsidR="00657D48" w:rsidRDefault="003F3EEB">
            <w:pPr>
              <w:pBdr>
                <w:top w:val="nil"/>
                <w:left w:val="nil"/>
                <w:bottom w:val="nil"/>
                <w:right w:val="nil"/>
                <w:between w:val="nil"/>
              </w:pBdr>
              <w:tabs>
                <w:tab w:val="left" w:pos="8222"/>
              </w:tabs>
              <w:spacing w:after="240" w:line="360" w:lineRule="auto"/>
              <w:ind w:left="47"/>
              <w:jc w:val="center"/>
              <w:rPr>
                <w:color w:val="000000"/>
              </w:rPr>
            </w:pPr>
            <w:r>
              <w:rPr>
                <w:color w:val="000000"/>
              </w:rPr>
              <w:t>Herramientas implementadas</w:t>
            </w:r>
          </w:p>
        </w:tc>
        <w:tc>
          <w:tcPr>
            <w:tcW w:w="8892" w:type="dxa"/>
            <w:vAlign w:val="center"/>
          </w:tcPr>
          <w:p w14:paraId="3BD10F85"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¿Considera Ud. que se debería implementar herramientas y/o mecanismos adecuadas para  evaluar y retroalimentar el proceso de reducción del riesgo de desastres en el Sector?</w:t>
            </w:r>
          </w:p>
        </w:tc>
      </w:tr>
      <w:tr w:rsidR="00657D48" w14:paraId="029D6113" w14:textId="77777777">
        <w:trPr>
          <w:trHeight w:val="1884"/>
        </w:trPr>
        <w:tc>
          <w:tcPr>
            <w:tcW w:w="1188" w:type="dxa"/>
            <w:vMerge/>
            <w:tcBorders>
              <w:top w:val="single" w:sz="4" w:space="0" w:color="000000"/>
            </w:tcBorders>
            <w:vAlign w:val="center"/>
          </w:tcPr>
          <w:p w14:paraId="5530B033"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val="restart"/>
            <w:tcBorders>
              <w:top w:val="single" w:sz="4" w:space="0" w:color="000000"/>
              <w:bottom w:val="single" w:sz="4" w:space="0" w:color="000000"/>
            </w:tcBorders>
            <w:vAlign w:val="center"/>
          </w:tcPr>
          <w:p w14:paraId="47E48299" w14:textId="77777777" w:rsidR="00657D48" w:rsidRDefault="003F3EEB">
            <w:pPr>
              <w:pBdr>
                <w:top w:val="nil"/>
                <w:left w:val="nil"/>
                <w:bottom w:val="nil"/>
                <w:right w:val="nil"/>
                <w:between w:val="nil"/>
              </w:pBdr>
              <w:tabs>
                <w:tab w:val="left" w:pos="8222"/>
              </w:tabs>
              <w:spacing w:after="240" w:line="360" w:lineRule="auto"/>
              <w:jc w:val="left"/>
              <w:rPr>
                <w:color w:val="000000"/>
              </w:rPr>
            </w:pPr>
            <w:r>
              <w:rPr>
                <w:color w:val="000000"/>
              </w:rPr>
              <w:t>Dimensión 2: Proceso de preparación</w:t>
            </w:r>
          </w:p>
        </w:tc>
        <w:tc>
          <w:tcPr>
            <w:tcW w:w="2013" w:type="dxa"/>
            <w:vAlign w:val="center"/>
          </w:tcPr>
          <w:p w14:paraId="2472FAE8" w14:textId="77777777" w:rsidR="00657D48" w:rsidRDefault="003F3EEB">
            <w:pPr>
              <w:tabs>
                <w:tab w:val="left" w:pos="8222"/>
              </w:tabs>
              <w:ind w:left="567" w:hanging="567"/>
              <w:jc w:val="center"/>
            </w:pPr>
            <w:r>
              <w:t>Planeamiento.</w:t>
            </w:r>
          </w:p>
        </w:tc>
        <w:tc>
          <w:tcPr>
            <w:tcW w:w="8892" w:type="dxa"/>
            <w:vAlign w:val="center"/>
          </w:tcPr>
          <w:p w14:paraId="6A104928"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¿Cree Ud., que el plan de preparación del sector está alineado con la RM N° 050-2020-PCM que responde a los Lineamientos para la implementación del proceso de preparación y formulación de los Planes de Preparación en los tres niveles de gobierno?</w:t>
            </w:r>
          </w:p>
          <w:p w14:paraId="0DD36A30" w14:textId="77777777" w:rsidR="00657D48" w:rsidRDefault="003F3EEB">
            <w:pPr>
              <w:numPr>
                <w:ilvl w:val="0"/>
                <w:numId w:val="8"/>
              </w:numPr>
              <w:pBdr>
                <w:top w:val="nil"/>
                <w:left w:val="nil"/>
                <w:bottom w:val="nil"/>
                <w:right w:val="nil"/>
                <w:between w:val="nil"/>
              </w:pBdr>
              <w:tabs>
                <w:tab w:val="left" w:pos="8222"/>
              </w:tabs>
              <w:spacing w:after="240" w:line="360" w:lineRule="auto"/>
              <w:ind w:left="193" w:hanging="215"/>
            </w:pPr>
            <w:r>
              <w:rPr>
                <w:color w:val="000000"/>
              </w:rPr>
              <w:t>¿Considera Ud. que el plan de preparación es la herramienta más adecuada para fortalecer las capacidades del Sector Defensa para anticiparse y responder de forma eficiente y eficaz en caso de desastres o situación de peligro inminente en atención a la población y a sus medios de vida en el marco de las competencias del Sector?</w:t>
            </w:r>
          </w:p>
        </w:tc>
      </w:tr>
      <w:tr w:rsidR="00657D48" w14:paraId="26B76B08" w14:textId="77777777">
        <w:trPr>
          <w:trHeight w:val="1321"/>
        </w:trPr>
        <w:tc>
          <w:tcPr>
            <w:tcW w:w="1188" w:type="dxa"/>
            <w:vMerge/>
            <w:tcBorders>
              <w:top w:val="single" w:sz="4" w:space="0" w:color="000000"/>
            </w:tcBorders>
            <w:vAlign w:val="center"/>
          </w:tcPr>
          <w:p w14:paraId="6AA1BAC4"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bottom w:val="single" w:sz="4" w:space="0" w:color="000000"/>
            </w:tcBorders>
            <w:vAlign w:val="center"/>
          </w:tcPr>
          <w:p w14:paraId="5986D921"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tcBorders>
              <w:bottom w:val="nil"/>
            </w:tcBorders>
            <w:vAlign w:val="center"/>
          </w:tcPr>
          <w:p w14:paraId="2544B55C" w14:textId="77777777" w:rsidR="00657D48" w:rsidRDefault="003F3EEB">
            <w:pPr>
              <w:tabs>
                <w:tab w:val="left" w:pos="8222"/>
              </w:tabs>
              <w:ind w:left="33" w:hanging="33"/>
              <w:jc w:val="center"/>
            </w:pPr>
            <w:r>
              <w:t>Desarrollo de capacidades para la respuesta.</w:t>
            </w:r>
          </w:p>
        </w:tc>
        <w:tc>
          <w:tcPr>
            <w:tcW w:w="8892" w:type="dxa"/>
            <w:tcBorders>
              <w:bottom w:val="nil"/>
            </w:tcBorders>
            <w:vAlign w:val="center"/>
          </w:tcPr>
          <w:p w14:paraId="57EE5340"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¿Cree Ud., que el desarrollo y fortalecimiento de las capacidades humanas organizacionales, capacidades técnicas y de investigación (Por ejemplo: CONIDA, DHN, IGN, etc.)  son las más adecuadas en el Sector?</w:t>
            </w:r>
          </w:p>
          <w:p w14:paraId="6CFCAD5E"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el equipamiento para una respuesta eficiente y eficaz en situación de emergencia o desastre es el más apropiado en el Sector?</w:t>
            </w:r>
          </w:p>
          <w:p w14:paraId="3493D74D"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 Considera Ud. que el equipamiento para una respuesta eficiente y eficaz debe de ser concordante a la región del país en la que se produce la emergencia o desastre?</w:t>
            </w:r>
          </w:p>
        </w:tc>
      </w:tr>
      <w:tr w:rsidR="00657D48" w14:paraId="3F7141EE" w14:textId="77777777">
        <w:trPr>
          <w:trHeight w:val="125"/>
        </w:trPr>
        <w:tc>
          <w:tcPr>
            <w:tcW w:w="1188" w:type="dxa"/>
            <w:vMerge/>
            <w:tcBorders>
              <w:top w:val="single" w:sz="4" w:space="0" w:color="000000"/>
            </w:tcBorders>
            <w:vAlign w:val="center"/>
          </w:tcPr>
          <w:p w14:paraId="6591E560"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bottom w:val="single" w:sz="4" w:space="0" w:color="000000"/>
            </w:tcBorders>
            <w:vAlign w:val="center"/>
          </w:tcPr>
          <w:p w14:paraId="29197B0E"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tcBorders>
              <w:top w:val="nil"/>
              <w:bottom w:val="single" w:sz="4" w:space="0" w:color="000000"/>
            </w:tcBorders>
            <w:vAlign w:val="center"/>
          </w:tcPr>
          <w:p w14:paraId="51928022"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Gestión de recursos para la respuesta</w:t>
            </w:r>
          </w:p>
        </w:tc>
        <w:tc>
          <w:tcPr>
            <w:tcW w:w="8892" w:type="dxa"/>
            <w:tcBorders>
              <w:top w:val="nil"/>
              <w:bottom w:val="single" w:sz="4" w:space="0" w:color="000000"/>
            </w:tcBorders>
            <w:vAlign w:val="center"/>
          </w:tcPr>
          <w:p w14:paraId="7C4A6D18"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¿Cree Ud., que la gestión de recursos debe ser fortalecida en el Sector a través del Programa presupuestal 0068?</w:t>
            </w:r>
          </w:p>
          <w:p w14:paraId="4E481C44"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el fortalecimiento de la gestión de recursos debe ser mediante los fondos públicos, programas presupuestales, la movilización y la cooperación internacional?</w:t>
            </w:r>
          </w:p>
        </w:tc>
      </w:tr>
      <w:tr w:rsidR="00657D48" w14:paraId="0C07B381" w14:textId="77777777">
        <w:trPr>
          <w:trHeight w:val="356"/>
        </w:trPr>
        <w:tc>
          <w:tcPr>
            <w:tcW w:w="1188" w:type="dxa"/>
            <w:vMerge/>
            <w:tcBorders>
              <w:top w:val="single" w:sz="4" w:space="0" w:color="000000"/>
            </w:tcBorders>
            <w:vAlign w:val="center"/>
          </w:tcPr>
          <w:p w14:paraId="76FB3082"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val="restart"/>
            <w:tcBorders>
              <w:top w:val="single" w:sz="4" w:space="0" w:color="000000"/>
            </w:tcBorders>
            <w:vAlign w:val="center"/>
          </w:tcPr>
          <w:p w14:paraId="1D80DE65"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Dimensión 3: Proceso de respuesta</w:t>
            </w:r>
          </w:p>
        </w:tc>
        <w:tc>
          <w:tcPr>
            <w:tcW w:w="2013" w:type="dxa"/>
            <w:tcBorders>
              <w:top w:val="single" w:sz="4" w:space="0" w:color="000000"/>
            </w:tcBorders>
            <w:vAlign w:val="center"/>
          </w:tcPr>
          <w:p w14:paraId="73E08335" w14:textId="77777777" w:rsidR="00657D48" w:rsidRDefault="003F3EEB">
            <w:pPr>
              <w:tabs>
                <w:tab w:val="left" w:pos="8222"/>
              </w:tabs>
              <w:ind w:left="33" w:hanging="33"/>
              <w:jc w:val="center"/>
            </w:pPr>
            <w:r>
              <w:t>Conducción y coordinación de la atención de la emergencia o desastre.</w:t>
            </w:r>
          </w:p>
        </w:tc>
        <w:tc>
          <w:tcPr>
            <w:tcW w:w="8892" w:type="dxa"/>
            <w:tcBorders>
              <w:top w:val="single" w:sz="4" w:space="0" w:color="000000"/>
            </w:tcBorders>
            <w:vAlign w:val="center"/>
          </w:tcPr>
          <w:p w14:paraId="07168324"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¿Cree Ud., que se realizan actividades transversales orientadas a conducir y coordinar las emergencias o desastres en el Sector?</w:t>
            </w:r>
          </w:p>
          <w:p w14:paraId="05B1AB5D"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la conducción y coordinación sirven para generar las decisiones que se transformen en acciones de intervención inicial, primera respuesta y respuesta complementaria con base a información oportuna en el Sector?</w:t>
            </w:r>
          </w:p>
        </w:tc>
      </w:tr>
      <w:tr w:rsidR="00657D48" w14:paraId="54F5B80D" w14:textId="77777777">
        <w:trPr>
          <w:trHeight w:val="206"/>
        </w:trPr>
        <w:tc>
          <w:tcPr>
            <w:tcW w:w="1188" w:type="dxa"/>
            <w:vMerge/>
            <w:tcBorders>
              <w:top w:val="single" w:sz="4" w:space="0" w:color="000000"/>
            </w:tcBorders>
            <w:vAlign w:val="center"/>
          </w:tcPr>
          <w:p w14:paraId="1E7E0F7E"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tcBorders>
            <w:vAlign w:val="center"/>
          </w:tcPr>
          <w:p w14:paraId="65250E04"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vAlign w:val="center"/>
          </w:tcPr>
          <w:p w14:paraId="5997A6F6" w14:textId="77777777" w:rsidR="00657D48" w:rsidRDefault="003F3EEB">
            <w:pPr>
              <w:tabs>
                <w:tab w:val="left" w:pos="8222"/>
              </w:tabs>
              <w:ind w:left="33" w:hanging="33"/>
              <w:jc w:val="center"/>
            </w:pPr>
            <w:r>
              <w:t>Búsqueda y salvamento.</w:t>
            </w:r>
          </w:p>
        </w:tc>
        <w:tc>
          <w:tcPr>
            <w:tcW w:w="8892" w:type="dxa"/>
            <w:vAlign w:val="center"/>
          </w:tcPr>
          <w:p w14:paraId="29ED20B5"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¿Cree Ud., que el entrenamiento de las FFAA para salvaguardar vidas, controlar incendios, explosiones y fugas es el adecuado?</w:t>
            </w:r>
          </w:p>
          <w:p w14:paraId="090C8478"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el personal que participa en la primera respuesta tiene bien establecidos los procedimientos para proteger los bienes y mantener la seguridad pública cuando actúa en una emergencia o desastres?</w:t>
            </w:r>
          </w:p>
          <w:p w14:paraId="4042925C"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el personal que participa en la primera respuesta como integrante de la CIRD’s tiene la capacitación y equipamiento adecuado?</w:t>
            </w:r>
          </w:p>
        </w:tc>
      </w:tr>
      <w:tr w:rsidR="00657D48" w14:paraId="3B5ECA3C" w14:textId="77777777">
        <w:trPr>
          <w:trHeight w:val="69"/>
        </w:trPr>
        <w:tc>
          <w:tcPr>
            <w:tcW w:w="1188" w:type="dxa"/>
            <w:vMerge/>
            <w:tcBorders>
              <w:top w:val="single" w:sz="4" w:space="0" w:color="000000"/>
            </w:tcBorders>
            <w:vAlign w:val="center"/>
          </w:tcPr>
          <w:p w14:paraId="71A2A263" w14:textId="77777777" w:rsidR="00657D48" w:rsidRDefault="00657D48">
            <w:pPr>
              <w:widowControl w:val="0"/>
              <w:pBdr>
                <w:top w:val="nil"/>
                <w:left w:val="nil"/>
                <w:bottom w:val="nil"/>
                <w:right w:val="nil"/>
                <w:between w:val="nil"/>
              </w:pBdr>
              <w:spacing w:line="276" w:lineRule="auto"/>
              <w:jc w:val="left"/>
              <w:rPr>
                <w:color w:val="000000"/>
              </w:rPr>
            </w:pPr>
          </w:p>
        </w:tc>
        <w:tc>
          <w:tcPr>
            <w:tcW w:w="1360" w:type="dxa"/>
            <w:vMerge/>
            <w:tcBorders>
              <w:top w:val="single" w:sz="4" w:space="0" w:color="000000"/>
            </w:tcBorders>
            <w:vAlign w:val="center"/>
          </w:tcPr>
          <w:p w14:paraId="073C9DBD" w14:textId="77777777" w:rsidR="00657D48" w:rsidRDefault="00657D48">
            <w:pPr>
              <w:widowControl w:val="0"/>
              <w:pBdr>
                <w:top w:val="nil"/>
                <w:left w:val="nil"/>
                <w:bottom w:val="nil"/>
                <w:right w:val="nil"/>
                <w:between w:val="nil"/>
              </w:pBdr>
              <w:spacing w:line="276" w:lineRule="auto"/>
              <w:jc w:val="left"/>
              <w:rPr>
                <w:color w:val="000000"/>
              </w:rPr>
            </w:pPr>
          </w:p>
        </w:tc>
        <w:tc>
          <w:tcPr>
            <w:tcW w:w="2013" w:type="dxa"/>
            <w:vAlign w:val="center"/>
          </w:tcPr>
          <w:p w14:paraId="3B7C132F" w14:textId="77777777" w:rsidR="00657D48" w:rsidRDefault="003F3EEB">
            <w:pPr>
              <w:tabs>
                <w:tab w:val="left" w:pos="8222"/>
              </w:tabs>
              <w:ind w:left="33" w:hanging="33"/>
              <w:jc w:val="center"/>
            </w:pPr>
            <w:r>
              <w:t>Logística en la respuesta</w:t>
            </w:r>
          </w:p>
        </w:tc>
        <w:tc>
          <w:tcPr>
            <w:tcW w:w="8892" w:type="dxa"/>
            <w:vAlign w:val="center"/>
          </w:tcPr>
          <w:p w14:paraId="21F8BC68"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¿Cree Ud., que el suministro en cuanto al abastecimiento y mantenimiento del equipo es el adecuado en las cantidades que requiere el personal de las FFAA para actuar en las emergencias o desastres?</w:t>
            </w:r>
          </w:p>
          <w:p w14:paraId="5E609C73"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el equipamiento y el entrenamiento del personal especializado de las FFAA se debe fortalecer para actuar en emergencias o desastres?</w:t>
            </w:r>
          </w:p>
        </w:tc>
      </w:tr>
    </w:tbl>
    <w:p w14:paraId="3E812D33" w14:textId="77777777" w:rsidR="00657D48" w:rsidRDefault="003F3EEB">
      <w:pPr>
        <w:rPr>
          <w:rFonts w:ascii="Times New Roman" w:eastAsia="Times New Roman" w:hAnsi="Times New Roman" w:cs="Times New Roman"/>
          <w:b/>
        </w:rPr>
      </w:pPr>
      <w:bookmarkStart w:id="101" w:name="_1f7o1he" w:colFirst="0" w:colLast="0"/>
      <w:bookmarkEnd w:id="101"/>
      <w:r>
        <w:rPr>
          <w:rFonts w:ascii="Times New Roman" w:eastAsia="Times New Roman" w:hAnsi="Times New Roman" w:cs="Times New Roman"/>
          <w:b/>
        </w:rPr>
        <w:lastRenderedPageBreak/>
        <w:t>Variable 2: Competencia en el Sector Defensa</w:t>
      </w:r>
    </w:p>
    <w:p w14:paraId="52598268" w14:textId="57AFD075" w:rsidR="000401B3" w:rsidRPr="00AF3701" w:rsidRDefault="000401B3" w:rsidP="000401B3">
      <w:pPr>
        <w:pStyle w:val="Descripcin"/>
        <w:rPr>
          <w:rFonts w:ascii="Times New Roman" w:eastAsia="Times New Roman" w:hAnsi="Times New Roman" w:cs="Times New Roman"/>
          <w:b/>
          <w:i w:val="0"/>
          <w:color w:val="auto"/>
          <w:sz w:val="24"/>
        </w:rPr>
      </w:pPr>
      <w:bookmarkStart w:id="102" w:name="_3z7bk57" w:colFirst="0" w:colLast="0"/>
      <w:bookmarkStart w:id="103" w:name="_Toc116591659"/>
      <w:bookmarkEnd w:id="102"/>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2</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03"/>
    </w:p>
    <w:p w14:paraId="7ECC7B00" w14:textId="77777777" w:rsidR="00657D48" w:rsidRDefault="003F3EEB">
      <w:pPr>
        <w:spacing w:after="0" w:line="240" w:lineRule="auto"/>
        <w:rPr>
          <w:rFonts w:ascii="Times New Roman" w:eastAsia="Times New Roman" w:hAnsi="Times New Roman" w:cs="Times New Roman"/>
          <w:i/>
        </w:rPr>
      </w:pPr>
      <w:r>
        <w:rPr>
          <w:rFonts w:ascii="Times New Roman" w:eastAsia="Times New Roman" w:hAnsi="Times New Roman" w:cs="Times New Roman"/>
          <w:i/>
        </w:rPr>
        <w:t>Matriz de operacionalización de la variable Competencia en el Sector Defensa</w:t>
      </w:r>
    </w:p>
    <w:tbl>
      <w:tblPr>
        <w:tblStyle w:val="a0"/>
        <w:tblW w:w="13425" w:type="dxa"/>
        <w:tblInd w:w="-5" w:type="dxa"/>
        <w:tblBorders>
          <w:top w:val="single" w:sz="4" w:space="0" w:color="7F7F7F"/>
          <w:left w:val="nil"/>
          <w:bottom w:val="single" w:sz="4" w:space="0" w:color="7F7F7F"/>
          <w:right w:val="nil"/>
          <w:insideH w:val="nil"/>
          <w:insideV w:val="nil"/>
        </w:tblBorders>
        <w:tblLayout w:type="fixed"/>
        <w:tblLook w:val="0400" w:firstRow="0" w:lastRow="0" w:firstColumn="0" w:lastColumn="0" w:noHBand="0" w:noVBand="1"/>
      </w:tblPr>
      <w:tblGrid>
        <w:gridCol w:w="1272"/>
        <w:gridCol w:w="1554"/>
        <w:gridCol w:w="2261"/>
        <w:gridCol w:w="8338"/>
      </w:tblGrid>
      <w:tr w:rsidR="00657D48" w14:paraId="279C2A77" w14:textId="77777777">
        <w:trPr>
          <w:trHeight w:val="360"/>
        </w:trPr>
        <w:tc>
          <w:tcPr>
            <w:tcW w:w="13425" w:type="dxa"/>
            <w:gridSpan w:val="4"/>
            <w:tcBorders>
              <w:top w:val="single" w:sz="4" w:space="0" w:color="000000"/>
              <w:bottom w:val="single" w:sz="4" w:space="0" w:color="000000"/>
            </w:tcBorders>
            <w:vAlign w:val="center"/>
          </w:tcPr>
          <w:p w14:paraId="0597B234"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Operacionalización de la variable Competencia en el Sector Defensa</w:t>
            </w:r>
          </w:p>
        </w:tc>
      </w:tr>
      <w:tr w:rsidR="00657D48" w14:paraId="3D13399E" w14:textId="77777777">
        <w:trPr>
          <w:trHeight w:val="666"/>
        </w:trPr>
        <w:tc>
          <w:tcPr>
            <w:tcW w:w="13425" w:type="dxa"/>
            <w:gridSpan w:val="4"/>
            <w:tcBorders>
              <w:top w:val="single" w:sz="4" w:space="0" w:color="000000"/>
              <w:bottom w:val="nil"/>
            </w:tcBorders>
            <w:vAlign w:val="center"/>
          </w:tcPr>
          <w:p w14:paraId="2D15EC33" w14:textId="11C372C1" w:rsidR="00657D48" w:rsidRDefault="003F3EEB">
            <w:pPr>
              <w:pBdr>
                <w:top w:val="nil"/>
                <w:left w:val="nil"/>
                <w:bottom w:val="nil"/>
                <w:right w:val="nil"/>
                <w:between w:val="nil"/>
              </w:pBdr>
              <w:tabs>
                <w:tab w:val="left" w:pos="8222"/>
              </w:tabs>
              <w:spacing w:after="240" w:line="360" w:lineRule="auto"/>
              <w:rPr>
                <w:color w:val="000000"/>
              </w:rPr>
            </w:pPr>
            <w:r>
              <w:rPr>
                <w:b/>
                <w:color w:val="000000"/>
              </w:rPr>
              <w:t>Definición conceptual:</w:t>
            </w:r>
            <w:r>
              <w:rPr>
                <w:color w:val="000000"/>
              </w:rPr>
              <w:t xml:space="preserve"> La variable </w:t>
            </w:r>
            <w:r w:rsidR="00771549">
              <w:rPr>
                <w:color w:val="000000"/>
              </w:rPr>
              <w:t>Competencia en el Sector Defensa</w:t>
            </w:r>
            <w:r>
              <w:rPr>
                <w:color w:val="000000"/>
              </w:rPr>
              <w:t xml:space="preserve"> fue medida mediante un cuestionario de 12 ítems orientadas a las dimensiones de socialización, sensibilización e implementación, priorizando alternativas de Escala Likert.</w:t>
            </w:r>
          </w:p>
        </w:tc>
      </w:tr>
      <w:tr w:rsidR="00657D48" w14:paraId="0F66A3C6" w14:textId="77777777">
        <w:trPr>
          <w:trHeight w:val="504"/>
        </w:trPr>
        <w:tc>
          <w:tcPr>
            <w:tcW w:w="13425" w:type="dxa"/>
            <w:gridSpan w:val="4"/>
            <w:tcBorders>
              <w:top w:val="nil"/>
              <w:bottom w:val="single" w:sz="4" w:space="0" w:color="000000"/>
            </w:tcBorders>
            <w:vAlign w:val="center"/>
          </w:tcPr>
          <w:p w14:paraId="25963B1E" w14:textId="77777777" w:rsidR="00657D48" w:rsidRDefault="003F3EEB">
            <w:pPr>
              <w:pBdr>
                <w:top w:val="nil"/>
                <w:left w:val="nil"/>
                <w:bottom w:val="nil"/>
                <w:right w:val="nil"/>
                <w:between w:val="nil"/>
              </w:pBdr>
              <w:tabs>
                <w:tab w:val="left" w:pos="8222"/>
              </w:tabs>
              <w:spacing w:after="240" w:line="360" w:lineRule="auto"/>
              <w:rPr>
                <w:color w:val="000000"/>
              </w:rPr>
            </w:pPr>
            <w:r>
              <w:rPr>
                <w:color w:val="000000"/>
              </w:rPr>
              <w:t>Instrumento: Encuesta</w:t>
            </w:r>
          </w:p>
        </w:tc>
      </w:tr>
      <w:tr w:rsidR="00657D48" w14:paraId="0830A1C8" w14:textId="77777777">
        <w:trPr>
          <w:trHeight w:val="453"/>
        </w:trPr>
        <w:tc>
          <w:tcPr>
            <w:tcW w:w="1272" w:type="dxa"/>
            <w:tcBorders>
              <w:top w:val="single" w:sz="4" w:space="0" w:color="000000"/>
              <w:bottom w:val="single" w:sz="4" w:space="0" w:color="000000"/>
            </w:tcBorders>
            <w:vAlign w:val="center"/>
          </w:tcPr>
          <w:p w14:paraId="6FA5AD68"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Variable</w:t>
            </w:r>
          </w:p>
        </w:tc>
        <w:tc>
          <w:tcPr>
            <w:tcW w:w="1554" w:type="dxa"/>
            <w:tcBorders>
              <w:top w:val="single" w:sz="4" w:space="0" w:color="000000"/>
              <w:bottom w:val="single" w:sz="4" w:space="0" w:color="000000"/>
            </w:tcBorders>
            <w:vAlign w:val="center"/>
          </w:tcPr>
          <w:p w14:paraId="41FA5DC0"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Dimensiones</w:t>
            </w:r>
          </w:p>
        </w:tc>
        <w:tc>
          <w:tcPr>
            <w:tcW w:w="2261" w:type="dxa"/>
            <w:tcBorders>
              <w:top w:val="single" w:sz="4" w:space="0" w:color="000000"/>
              <w:bottom w:val="single" w:sz="4" w:space="0" w:color="000000"/>
            </w:tcBorders>
            <w:vAlign w:val="center"/>
          </w:tcPr>
          <w:p w14:paraId="3CEB690A"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Indicadores</w:t>
            </w:r>
          </w:p>
        </w:tc>
        <w:tc>
          <w:tcPr>
            <w:tcW w:w="8338" w:type="dxa"/>
            <w:tcBorders>
              <w:top w:val="single" w:sz="4" w:space="0" w:color="000000"/>
              <w:bottom w:val="single" w:sz="4" w:space="0" w:color="000000"/>
            </w:tcBorders>
            <w:vAlign w:val="center"/>
          </w:tcPr>
          <w:p w14:paraId="2E2979C1"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Ítems del instrumento</w:t>
            </w:r>
          </w:p>
        </w:tc>
      </w:tr>
      <w:tr w:rsidR="00657D48" w14:paraId="16035654" w14:textId="77777777">
        <w:trPr>
          <w:trHeight w:val="1277"/>
        </w:trPr>
        <w:tc>
          <w:tcPr>
            <w:tcW w:w="1272" w:type="dxa"/>
            <w:vMerge w:val="restart"/>
            <w:tcBorders>
              <w:top w:val="single" w:sz="4" w:space="0" w:color="000000"/>
            </w:tcBorders>
            <w:vAlign w:val="center"/>
          </w:tcPr>
          <w:p w14:paraId="4CBB1FC4"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Competencia en el Sector Defensa</w:t>
            </w:r>
          </w:p>
        </w:tc>
        <w:tc>
          <w:tcPr>
            <w:tcW w:w="1554" w:type="dxa"/>
            <w:vMerge w:val="restart"/>
            <w:tcBorders>
              <w:top w:val="single" w:sz="4" w:space="0" w:color="000000"/>
              <w:bottom w:val="nil"/>
            </w:tcBorders>
            <w:vAlign w:val="center"/>
          </w:tcPr>
          <w:p w14:paraId="41BE7F30" w14:textId="74F31B13"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Dimensión 1: Socialización</w:t>
            </w:r>
          </w:p>
        </w:tc>
        <w:tc>
          <w:tcPr>
            <w:tcW w:w="2261" w:type="dxa"/>
            <w:tcBorders>
              <w:top w:val="single" w:sz="4" w:space="0" w:color="000000"/>
              <w:bottom w:val="nil"/>
            </w:tcBorders>
            <w:vAlign w:val="center"/>
          </w:tcPr>
          <w:p w14:paraId="44223E3C" w14:textId="77777777" w:rsidR="00657D48" w:rsidRDefault="003F3EEB">
            <w:pPr>
              <w:tabs>
                <w:tab w:val="left" w:pos="8222"/>
              </w:tabs>
              <w:jc w:val="center"/>
            </w:pPr>
            <w:r>
              <w:t>Difusión de los documentos normativos , herramientas e instrumentos del SINAGERD</w:t>
            </w:r>
          </w:p>
        </w:tc>
        <w:tc>
          <w:tcPr>
            <w:tcW w:w="8338" w:type="dxa"/>
            <w:tcBorders>
              <w:top w:val="single" w:sz="4" w:space="0" w:color="000000"/>
              <w:bottom w:val="nil"/>
            </w:tcBorders>
            <w:vAlign w:val="center"/>
          </w:tcPr>
          <w:p w14:paraId="70BA6FEA"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la difusión de los documentos normativos, herramientas e instrumentos del SINAGERD en el Sector es el adecuado?</w:t>
            </w:r>
          </w:p>
          <w:p w14:paraId="3B646855"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se debería impulsar la difusión de los documentos normativos, herramientas e instrumentos del SINAGERD en el Sector?</w:t>
            </w:r>
          </w:p>
        </w:tc>
      </w:tr>
      <w:tr w:rsidR="00657D48" w14:paraId="0BA0B6EB" w14:textId="77777777">
        <w:trPr>
          <w:trHeight w:val="914"/>
        </w:trPr>
        <w:tc>
          <w:tcPr>
            <w:tcW w:w="1272" w:type="dxa"/>
            <w:vMerge/>
            <w:tcBorders>
              <w:top w:val="single" w:sz="4" w:space="0" w:color="000000"/>
            </w:tcBorders>
            <w:vAlign w:val="center"/>
          </w:tcPr>
          <w:p w14:paraId="19139901" w14:textId="77777777" w:rsidR="00657D48" w:rsidRDefault="00657D48">
            <w:pPr>
              <w:widowControl w:val="0"/>
              <w:pBdr>
                <w:top w:val="nil"/>
                <w:left w:val="nil"/>
                <w:bottom w:val="nil"/>
                <w:right w:val="nil"/>
                <w:between w:val="nil"/>
              </w:pBdr>
              <w:spacing w:line="276" w:lineRule="auto"/>
              <w:jc w:val="left"/>
              <w:rPr>
                <w:color w:val="000000"/>
              </w:rPr>
            </w:pPr>
          </w:p>
        </w:tc>
        <w:tc>
          <w:tcPr>
            <w:tcW w:w="1554" w:type="dxa"/>
            <w:vMerge/>
            <w:tcBorders>
              <w:top w:val="single" w:sz="4" w:space="0" w:color="000000"/>
              <w:bottom w:val="nil"/>
            </w:tcBorders>
            <w:vAlign w:val="center"/>
          </w:tcPr>
          <w:p w14:paraId="1FE16F97" w14:textId="77777777" w:rsidR="00657D48" w:rsidRDefault="00657D48">
            <w:pPr>
              <w:widowControl w:val="0"/>
              <w:pBdr>
                <w:top w:val="nil"/>
                <w:left w:val="nil"/>
                <w:bottom w:val="nil"/>
                <w:right w:val="nil"/>
                <w:between w:val="nil"/>
              </w:pBdr>
              <w:spacing w:line="276" w:lineRule="auto"/>
              <w:jc w:val="left"/>
              <w:rPr>
                <w:color w:val="000000"/>
              </w:rPr>
            </w:pPr>
          </w:p>
        </w:tc>
        <w:tc>
          <w:tcPr>
            <w:tcW w:w="2261" w:type="dxa"/>
            <w:tcBorders>
              <w:top w:val="nil"/>
              <w:bottom w:val="single" w:sz="4" w:space="0" w:color="000000"/>
            </w:tcBorders>
            <w:vAlign w:val="center"/>
          </w:tcPr>
          <w:p w14:paraId="2682BE7C" w14:textId="77777777" w:rsidR="00657D48" w:rsidRDefault="003F3EEB">
            <w:pPr>
              <w:tabs>
                <w:tab w:val="left" w:pos="8222"/>
              </w:tabs>
              <w:jc w:val="center"/>
            </w:pPr>
            <w:r>
              <w:t>Difusión de los documentos normativos de GRD del sector</w:t>
            </w:r>
          </w:p>
        </w:tc>
        <w:tc>
          <w:tcPr>
            <w:tcW w:w="8338" w:type="dxa"/>
            <w:tcBorders>
              <w:top w:val="nil"/>
              <w:bottom w:val="single" w:sz="4" w:space="0" w:color="000000"/>
            </w:tcBorders>
            <w:vAlign w:val="center"/>
          </w:tcPr>
          <w:p w14:paraId="00D27198"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la difusión de los documentos normativos de GRD del Sector herramientas e instrumentos es el adecuado?</w:t>
            </w:r>
          </w:p>
          <w:p w14:paraId="245C7FD4"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se debería impulsar la difusión de los documentos normativos herramientas e instrumentos de GRD en el Sector?</w:t>
            </w:r>
          </w:p>
        </w:tc>
      </w:tr>
      <w:tr w:rsidR="00657D48" w14:paraId="5E4EBE1A" w14:textId="77777777">
        <w:trPr>
          <w:trHeight w:val="1493"/>
        </w:trPr>
        <w:tc>
          <w:tcPr>
            <w:tcW w:w="1272" w:type="dxa"/>
            <w:vMerge/>
            <w:tcBorders>
              <w:top w:val="single" w:sz="4" w:space="0" w:color="000000"/>
            </w:tcBorders>
            <w:vAlign w:val="center"/>
          </w:tcPr>
          <w:p w14:paraId="2F961E9D" w14:textId="77777777" w:rsidR="00657D48" w:rsidRDefault="00657D48">
            <w:pPr>
              <w:widowControl w:val="0"/>
              <w:pBdr>
                <w:top w:val="nil"/>
                <w:left w:val="nil"/>
                <w:bottom w:val="nil"/>
                <w:right w:val="nil"/>
                <w:between w:val="nil"/>
              </w:pBdr>
              <w:spacing w:line="276" w:lineRule="auto"/>
              <w:jc w:val="left"/>
              <w:rPr>
                <w:color w:val="000000"/>
              </w:rPr>
            </w:pPr>
          </w:p>
        </w:tc>
        <w:tc>
          <w:tcPr>
            <w:tcW w:w="1554" w:type="dxa"/>
            <w:vMerge w:val="restart"/>
            <w:tcBorders>
              <w:top w:val="single" w:sz="4" w:space="0" w:color="000000"/>
            </w:tcBorders>
            <w:vAlign w:val="center"/>
          </w:tcPr>
          <w:p w14:paraId="2D2148F0"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Dimensión 2: Sensibilización</w:t>
            </w:r>
          </w:p>
        </w:tc>
        <w:tc>
          <w:tcPr>
            <w:tcW w:w="2261" w:type="dxa"/>
            <w:tcBorders>
              <w:top w:val="single" w:sz="4" w:space="0" w:color="000000"/>
            </w:tcBorders>
            <w:vAlign w:val="center"/>
          </w:tcPr>
          <w:p w14:paraId="70F7DD7D" w14:textId="77777777" w:rsidR="00657D48" w:rsidRDefault="003F3EEB">
            <w:pPr>
              <w:tabs>
                <w:tab w:val="left" w:pos="8222"/>
              </w:tabs>
              <w:jc w:val="center"/>
            </w:pPr>
            <w:r>
              <w:t>Gestión del Riesgo de Desastres como un tema transversal</w:t>
            </w:r>
          </w:p>
        </w:tc>
        <w:tc>
          <w:tcPr>
            <w:tcW w:w="8338" w:type="dxa"/>
            <w:tcBorders>
              <w:top w:val="single" w:sz="4" w:space="0" w:color="000000"/>
            </w:tcBorders>
            <w:vAlign w:val="center"/>
          </w:tcPr>
          <w:p w14:paraId="6FF8F2BD"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participamos activamente de forma transversal en el SINAGERD?</w:t>
            </w:r>
          </w:p>
          <w:p w14:paraId="3C853BAA"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la participación debe ser más trasversal aprovechando las plataformas de defensa civil?</w:t>
            </w:r>
          </w:p>
        </w:tc>
      </w:tr>
      <w:tr w:rsidR="00657D48" w14:paraId="0C432FCB" w14:textId="77777777">
        <w:trPr>
          <w:trHeight w:val="706"/>
        </w:trPr>
        <w:tc>
          <w:tcPr>
            <w:tcW w:w="1272" w:type="dxa"/>
            <w:vMerge/>
            <w:tcBorders>
              <w:top w:val="single" w:sz="4" w:space="0" w:color="000000"/>
            </w:tcBorders>
            <w:vAlign w:val="center"/>
          </w:tcPr>
          <w:p w14:paraId="0DDFC104" w14:textId="77777777" w:rsidR="00657D48" w:rsidRDefault="00657D48">
            <w:pPr>
              <w:widowControl w:val="0"/>
              <w:pBdr>
                <w:top w:val="nil"/>
                <w:left w:val="nil"/>
                <w:bottom w:val="nil"/>
                <w:right w:val="nil"/>
                <w:between w:val="nil"/>
              </w:pBdr>
              <w:spacing w:line="276" w:lineRule="auto"/>
              <w:jc w:val="left"/>
              <w:rPr>
                <w:color w:val="000000"/>
              </w:rPr>
            </w:pPr>
          </w:p>
        </w:tc>
        <w:tc>
          <w:tcPr>
            <w:tcW w:w="1554" w:type="dxa"/>
            <w:vMerge/>
            <w:tcBorders>
              <w:top w:val="single" w:sz="4" w:space="0" w:color="000000"/>
            </w:tcBorders>
            <w:vAlign w:val="center"/>
          </w:tcPr>
          <w:p w14:paraId="5BFC7A90" w14:textId="77777777" w:rsidR="00657D48" w:rsidRDefault="00657D48">
            <w:pPr>
              <w:widowControl w:val="0"/>
              <w:pBdr>
                <w:top w:val="nil"/>
                <w:left w:val="nil"/>
                <w:bottom w:val="nil"/>
                <w:right w:val="nil"/>
                <w:between w:val="nil"/>
              </w:pBdr>
              <w:spacing w:line="276" w:lineRule="auto"/>
              <w:jc w:val="left"/>
              <w:rPr>
                <w:color w:val="000000"/>
              </w:rPr>
            </w:pPr>
          </w:p>
        </w:tc>
        <w:tc>
          <w:tcPr>
            <w:tcW w:w="2261" w:type="dxa"/>
            <w:vAlign w:val="center"/>
          </w:tcPr>
          <w:p w14:paraId="7FF6C46B" w14:textId="77777777" w:rsidR="00657D48" w:rsidRDefault="003F3EEB">
            <w:pPr>
              <w:tabs>
                <w:tab w:val="left" w:pos="8222"/>
              </w:tabs>
              <w:jc w:val="center"/>
            </w:pPr>
            <w:r>
              <w:t>Romper el esquema militar en la Gestión del Riesgo de Desastres</w:t>
            </w:r>
          </w:p>
        </w:tc>
        <w:tc>
          <w:tcPr>
            <w:tcW w:w="8338" w:type="dxa"/>
            <w:vAlign w:val="center"/>
          </w:tcPr>
          <w:p w14:paraId="38DA4278"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la implementación de lo establecido en el SINAGERD se desarrolla exclusivamente dentro del esquema militar?</w:t>
            </w:r>
          </w:p>
          <w:p w14:paraId="2834CA57"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 Considera Ud. que la GRD se debe fortalecer desde el punto de vista multisectorial?</w:t>
            </w:r>
          </w:p>
        </w:tc>
      </w:tr>
      <w:tr w:rsidR="00657D48" w14:paraId="00A4437C" w14:textId="77777777">
        <w:trPr>
          <w:trHeight w:val="1360"/>
        </w:trPr>
        <w:tc>
          <w:tcPr>
            <w:tcW w:w="1272" w:type="dxa"/>
            <w:vMerge/>
            <w:tcBorders>
              <w:top w:val="single" w:sz="4" w:space="0" w:color="000000"/>
            </w:tcBorders>
            <w:vAlign w:val="center"/>
          </w:tcPr>
          <w:p w14:paraId="088D3D77" w14:textId="77777777" w:rsidR="00657D48" w:rsidRDefault="00657D48">
            <w:pPr>
              <w:widowControl w:val="0"/>
              <w:pBdr>
                <w:top w:val="nil"/>
                <w:left w:val="nil"/>
                <w:bottom w:val="nil"/>
                <w:right w:val="nil"/>
                <w:between w:val="nil"/>
              </w:pBdr>
              <w:spacing w:line="276" w:lineRule="auto"/>
              <w:jc w:val="left"/>
              <w:rPr>
                <w:color w:val="000000"/>
              </w:rPr>
            </w:pPr>
          </w:p>
        </w:tc>
        <w:tc>
          <w:tcPr>
            <w:tcW w:w="1554" w:type="dxa"/>
            <w:vMerge w:val="restart"/>
            <w:vAlign w:val="center"/>
          </w:tcPr>
          <w:p w14:paraId="2D7BB2FB" w14:textId="77777777" w:rsidR="00657D48" w:rsidRDefault="003F3EEB">
            <w:pPr>
              <w:pBdr>
                <w:top w:val="nil"/>
                <w:left w:val="nil"/>
                <w:bottom w:val="nil"/>
                <w:right w:val="nil"/>
                <w:between w:val="nil"/>
              </w:pBdr>
              <w:tabs>
                <w:tab w:val="left" w:pos="8222"/>
              </w:tabs>
              <w:spacing w:after="240" w:line="360" w:lineRule="auto"/>
              <w:jc w:val="center"/>
              <w:rPr>
                <w:color w:val="000000"/>
              </w:rPr>
            </w:pPr>
            <w:r>
              <w:rPr>
                <w:color w:val="000000"/>
              </w:rPr>
              <w:t>Dimensión 3: Implementación</w:t>
            </w:r>
          </w:p>
        </w:tc>
        <w:tc>
          <w:tcPr>
            <w:tcW w:w="2261" w:type="dxa"/>
            <w:vAlign w:val="center"/>
          </w:tcPr>
          <w:p w14:paraId="7D8E1C39" w14:textId="77777777" w:rsidR="00657D48" w:rsidRDefault="003F3EEB">
            <w:pPr>
              <w:pBdr>
                <w:top w:val="nil"/>
                <w:left w:val="nil"/>
                <w:bottom w:val="nil"/>
                <w:right w:val="nil"/>
                <w:between w:val="nil"/>
              </w:pBdr>
              <w:tabs>
                <w:tab w:val="left" w:pos="8222"/>
              </w:tabs>
              <w:spacing w:after="240" w:line="360" w:lineRule="auto"/>
              <w:ind w:left="47"/>
              <w:jc w:val="center"/>
              <w:rPr>
                <w:color w:val="000000"/>
              </w:rPr>
            </w:pPr>
            <w:r>
              <w:rPr>
                <w:color w:val="000000"/>
              </w:rPr>
              <w:t>Capacidades adecuadas</w:t>
            </w:r>
          </w:p>
        </w:tc>
        <w:tc>
          <w:tcPr>
            <w:tcW w:w="8338" w:type="dxa"/>
            <w:vAlign w:val="center"/>
          </w:tcPr>
          <w:p w14:paraId="4FDDBD21"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actualmente contamos con capacidades organizacionales, humanas, técnicas y de investigación adecuadas para hacer frente a las emergencias o desastres en el Sector?</w:t>
            </w:r>
          </w:p>
          <w:p w14:paraId="08AD6FBC"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se debe impulsar la gestión para tener mejores capacidades organizacionales, humanas, técnicas y de investigación para hacer frente a las emergencias o desastres en el Sector?</w:t>
            </w:r>
          </w:p>
        </w:tc>
      </w:tr>
      <w:tr w:rsidR="00657D48" w14:paraId="7DAA2F0C" w14:textId="77777777">
        <w:trPr>
          <w:trHeight w:val="1360"/>
        </w:trPr>
        <w:tc>
          <w:tcPr>
            <w:tcW w:w="1272" w:type="dxa"/>
            <w:vMerge/>
            <w:tcBorders>
              <w:top w:val="single" w:sz="4" w:space="0" w:color="000000"/>
            </w:tcBorders>
            <w:vAlign w:val="center"/>
          </w:tcPr>
          <w:p w14:paraId="38BDAAC3" w14:textId="77777777" w:rsidR="00657D48" w:rsidRDefault="00657D48">
            <w:pPr>
              <w:widowControl w:val="0"/>
              <w:pBdr>
                <w:top w:val="nil"/>
                <w:left w:val="nil"/>
                <w:bottom w:val="nil"/>
                <w:right w:val="nil"/>
                <w:between w:val="nil"/>
              </w:pBdr>
              <w:spacing w:line="276" w:lineRule="auto"/>
              <w:jc w:val="left"/>
              <w:rPr>
                <w:color w:val="000000"/>
              </w:rPr>
            </w:pPr>
          </w:p>
        </w:tc>
        <w:tc>
          <w:tcPr>
            <w:tcW w:w="1554" w:type="dxa"/>
            <w:vMerge/>
            <w:vAlign w:val="center"/>
          </w:tcPr>
          <w:p w14:paraId="5F4CD5F4" w14:textId="77777777" w:rsidR="00657D48" w:rsidRDefault="00657D48">
            <w:pPr>
              <w:widowControl w:val="0"/>
              <w:pBdr>
                <w:top w:val="nil"/>
                <w:left w:val="nil"/>
                <w:bottom w:val="nil"/>
                <w:right w:val="nil"/>
                <w:between w:val="nil"/>
              </w:pBdr>
              <w:spacing w:line="276" w:lineRule="auto"/>
              <w:jc w:val="left"/>
              <w:rPr>
                <w:color w:val="000000"/>
              </w:rPr>
            </w:pPr>
          </w:p>
        </w:tc>
        <w:tc>
          <w:tcPr>
            <w:tcW w:w="2261" w:type="dxa"/>
            <w:vAlign w:val="center"/>
          </w:tcPr>
          <w:p w14:paraId="21B8D227" w14:textId="77777777" w:rsidR="00657D48" w:rsidRDefault="003F3EEB">
            <w:pPr>
              <w:tabs>
                <w:tab w:val="left" w:pos="8222"/>
              </w:tabs>
              <w:jc w:val="center"/>
            </w:pPr>
            <w:r>
              <w:t>Acondicionar la fuerza</w:t>
            </w:r>
          </w:p>
        </w:tc>
        <w:tc>
          <w:tcPr>
            <w:tcW w:w="8338" w:type="dxa"/>
            <w:vAlign w:val="center"/>
          </w:tcPr>
          <w:p w14:paraId="4A62D3D8" w14:textId="77777777" w:rsidR="00657D48" w:rsidRDefault="003F3EEB">
            <w:pPr>
              <w:numPr>
                <w:ilvl w:val="0"/>
                <w:numId w:val="8"/>
              </w:numPr>
              <w:pBdr>
                <w:top w:val="nil"/>
                <w:left w:val="nil"/>
                <w:bottom w:val="nil"/>
                <w:right w:val="nil"/>
                <w:between w:val="nil"/>
              </w:pBdr>
              <w:tabs>
                <w:tab w:val="left" w:pos="8222"/>
              </w:tabs>
              <w:spacing w:line="360" w:lineRule="auto"/>
              <w:ind w:left="155" w:hanging="140"/>
            </w:pPr>
            <w:r>
              <w:rPr>
                <w:color w:val="000000"/>
              </w:rPr>
              <w:t>¿Cree Ud., que las FFAA como entidad de primera respuesta cuenta con el equipamiento, personal especializado acorde para hacer frente a las emergencias o desastres?</w:t>
            </w:r>
          </w:p>
          <w:p w14:paraId="4C65EFB7" w14:textId="77777777" w:rsidR="00657D48" w:rsidRDefault="003F3EEB">
            <w:pPr>
              <w:numPr>
                <w:ilvl w:val="0"/>
                <w:numId w:val="8"/>
              </w:numPr>
              <w:pBdr>
                <w:top w:val="nil"/>
                <w:left w:val="nil"/>
                <w:bottom w:val="nil"/>
                <w:right w:val="nil"/>
                <w:between w:val="nil"/>
              </w:pBdr>
              <w:tabs>
                <w:tab w:val="left" w:pos="8222"/>
              </w:tabs>
              <w:spacing w:after="240" w:line="360" w:lineRule="auto"/>
              <w:ind w:left="155" w:hanging="140"/>
            </w:pPr>
            <w:r>
              <w:rPr>
                <w:color w:val="000000"/>
              </w:rPr>
              <w:t>¿Considera Ud. que las FFAA deben gestionar una organización, equipamiento y entrenamiento tipo UME para hacer frente a las diversas emergencias o desastres que ocurren en nuestro territorio?</w:t>
            </w:r>
          </w:p>
        </w:tc>
      </w:tr>
    </w:tbl>
    <w:p w14:paraId="04DBCAF6" w14:textId="77777777" w:rsidR="00657D48" w:rsidRDefault="00657D48">
      <w:pPr>
        <w:pBdr>
          <w:top w:val="nil"/>
          <w:left w:val="nil"/>
          <w:bottom w:val="nil"/>
          <w:right w:val="nil"/>
          <w:between w:val="nil"/>
        </w:pBdr>
        <w:tabs>
          <w:tab w:val="left" w:pos="8222"/>
        </w:tabs>
        <w:ind w:left="1843"/>
        <w:jc w:val="both"/>
        <w:rPr>
          <w:rFonts w:ascii="Times New Roman" w:eastAsia="Times New Roman" w:hAnsi="Times New Roman" w:cs="Times New Roman"/>
          <w:color w:val="000000"/>
        </w:rPr>
        <w:sectPr w:rsidR="00657D48">
          <w:footerReference w:type="default" r:id="rId14"/>
          <w:pgSz w:w="16838" w:h="11906" w:orient="landscape"/>
          <w:pgMar w:top="2268" w:right="1701" w:bottom="1701" w:left="1701" w:header="709" w:footer="709" w:gutter="0"/>
          <w:cols w:space="720"/>
        </w:sectPr>
      </w:pPr>
    </w:p>
    <w:p w14:paraId="7F05EC8C" w14:textId="1A0AD40B" w:rsidR="00657D48" w:rsidRPr="007546F2" w:rsidRDefault="003F3EEB" w:rsidP="007546F2">
      <w:pPr>
        <w:pStyle w:val="Ttulo1"/>
        <w:jc w:val="left"/>
      </w:pPr>
      <w:bookmarkStart w:id="104" w:name="_2eclud0" w:colFirst="0" w:colLast="0"/>
      <w:bookmarkStart w:id="105" w:name="_Toc117518923"/>
      <w:bookmarkEnd w:id="104"/>
      <w:r w:rsidRPr="007546F2">
        <w:lastRenderedPageBreak/>
        <w:t>3.2. Hipótesis</w:t>
      </w:r>
      <w:bookmarkEnd w:id="105"/>
    </w:p>
    <w:p w14:paraId="2150A502" w14:textId="77777777" w:rsidR="00657D48" w:rsidRPr="007546F2" w:rsidRDefault="00657D48">
      <w:pPr>
        <w:pBdr>
          <w:top w:val="nil"/>
          <w:left w:val="nil"/>
          <w:bottom w:val="nil"/>
          <w:right w:val="nil"/>
          <w:between w:val="nil"/>
        </w:pBdr>
        <w:tabs>
          <w:tab w:val="left" w:pos="8222"/>
        </w:tabs>
        <w:spacing w:after="0"/>
        <w:ind w:left="709"/>
        <w:rPr>
          <w:rFonts w:ascii="Times New Roman" w:eastAsia="Times New Roman" w:hAnsi="Times New Roman" w:cs="Times New Roman"/>
          <w:b/>
          <w:color w:val="000000"/>
          <w:sz w:val="8"/>
          <w:szCs w:val="8"/>
        </w:rPr>
      </w:pPr>
    </w:p>
    <w:p w14:paraId="2DD6F1CE" w14:textId="03CA6BCD" w:rsidR="00657D48" w:rsidRPr="007546F2" w:rsidRDefault="003F3EEB" w:rsidP="007546F2">
      <w:pPr>
        <w:pStyle w:val="Ttulo1"/>
        <w:ind w:firstLine="425"/>
        <w:jc w:val="left"/>
      </w:pPr>
      <w:bookmarkStart w:id="106" w:name="_thw4kt" w:colFirst="0" w:colLast="0"/>
      <w:bookmarkStart w:id="107" w:name="_Toc117518924"/>
      <w:bookmarkEnd w:id="106"/>
      <w:r w:rsidRPr="007546F2">
        <w:rPr>
          <w:color w:val="000000"/>
        </w:rPr>
        <w:t>3.2.1 Hipótesis general</w:t>
      </w:r>
      <w:bookmarkEnd w:id="107"/>
    </w:p>
    <w:p w14:paraId="2A072888" w14:textId="546F7ACA" w:rsidR="00657D48" w:rsidRDefault="008D546D">
      <w:pPr>
        <w:pBdr>
          <w:top w:val="nil"/>
          <w:left w:val="nil"/>
          <w:bottom w:val="nil"/>
          <w:right w:val="nil"/>
          <w:between w:val="nil"/>
        </w:pBdr>
        <w:tabs>
          <w:tab w:val="left" w:pos="8222"/>
        </w:tabs>
        <w:spacing w:after="200"/>
        <w:ind w:left="425" w:firstLine="567"/>
        <w:jc w:val="both"/>
        <w:rPr>
          <w:rFonts w:ascii="Times New Roman" w:eastAsia="Times New Roman" w:hAnsi="Times New Roman" w:cs="Times New Roman"/>
          <w:color w:val="000000"/>
          <w:sz w:val="8"/>
          <w:szCs w:val="8"/>
        </w:rPr>
      </w:pPr>
      <w:r w:rsidRPr="008D546D">
        <w:rPr>
          <w:rFonts w:ascii="Times New Roman" w:eastAsia="Times New Roman" w:hAnsi="Times New Roman" w:cs="Times New Roman"/>
          <w:color w:val="000000"/>
        </w:rPr>
        <w:t>La Gestión del Riesgo de Desastres en los procesos de Reducción del Riesgo, Preparación y Respuesta tiene relación significativa en las competencias en el Sector Defensa año 2021.</w:t>
      </w:r>
    </w:p>
    <w:p w14:paraId="6FAAA1D3" w14:textId="06D80377" w:rsidR="00657D48" w:rsidRPr="007546F2" w:rsidRDefault="003F3EEB" w:rsidP="007546F2">
      <w:pPr>
        <w:pStyle w:val="Ttulo1"/>
        <w:ind w:firstLine="425"/>
        <w:jc w:val="left"/>
      </w:pPr>
      <w:bookmarkStart w:id="108" w:name="_3dhjn8m" w:colFirst="0" w:colLast="0"/>
      <w:bookmarkStart w:id="109" w:name="_Toc117518925"/>
      <w:bookmarkEnd w:id="108"/>
      <w:r w:rsidRPr="007546F2">
        <w:rPr>
          <w:color w:val="000000"/>
        </w:rPr>
        <w:t>3.2.2 Hipótesis específicas</w:t>
      </w:r>
      <w:bookmarkEnd w:id="109"/>
    </w:p>
    <w:p w14:paraId="000F133E" w14:textId="39000295" w:rsidR="00657D48" w:rsidRDefault="003F3EEB">
      <w:pPr>
        <w:tabs>
          <w:tab w:val="left" w:pos="8222"/>
        </w:tabs>
        <w:spacing w:after="200"/>
        <w:ind w:left="425" w:firstLine="567"/>
        <w:jc w:val="both"/>
        <w:rPr>
          <w:rFonts w:ascii="Times New Roman" w:eastAsia="Times New Roman" w:hAnsi="Times New Roman" w:cs="Times New Roman"/>
          <w:b/>
          <w:sz w:val="12"/>
          <w:szCs w:val="12"/>
        </w:rPr>
      </w:pPr>
      <w:r>
        <w:rPr>
          <w:rFonts w:ascii="Times New Roman" w:eastAsia="Times New Roman" w:hAnsi="Times New Roman" w:cs="Times New Roman"/>
          <w:b/>
        </w:rPr>
        <w:t xml:space="preserve">HE1. </w:t>
      </w:r>
      <w:r w:rsidR="008D546D" w:rsidRPr="008D546D">
        <w:rPr>
          <w:rFonts w:ascii="Times New Roman" w:eastAsia="Times New Roman" w:hAnsi="Times New Roman" w:cs="Times New Roman"/>
        </w:rPr>
        <w:t>El proceso de reducción del riesgo tiene relación significativa en las medidas de socialización en el Sector Defensa año 2021</w:t>
      </w:r>
      <w:r w:rsidR="008D546D">
        <w:rPr>
          <w:rFonts w:ascii="Times New Roman" w:eastAsia="Times New Roman" w:hAnsi="Times New Roman" w:cs="Times New Roman"/>
        </w:rPr>
        <w:t>.</w:t>
      </w:r>
    </w:p>
    <w:p w14:paraId="5D61E11A" w14:textId="2FD24F0B" w:rsidR="00657D48" w:rsidRDefault="003F3EEB">
      <w:pPr>
        <w:tabs>
          <w:tab w:val="left" w:pos="8222"/>
        </w:tabs>
        <w:spacing w:after="200"/>
        <w:ind w:left="425" w:firstLine="567"/>
        <w:jc w:val="both"/>
        <w:rPr>
          <w:rFonts w:ascii="Times New Roman" w:eastAsia="Times New Roman" w:hAnsi="Times New Roman" w:cs="Times New Roman"/>
          <w:sz w:val="12"/>
          <w:szCs w:val="12"/>
        </w:rPr>
      </w:pPr>
      <w:r>
        <w:rPr>
          <w:rFonts w:ascii="Times New Roman" w:eastAsia="Times New Roman" w:hAnsi="Times New Roman" w:cs="Times New Roman"/>
          <w:b/>
        </w:rPr>
        <w:t xml:space="preserve">HE2. </w:t>
      </w:r>
      <w:r w:rsidR="008D546D" w:rsidRPr="008D546D">
        <w:rPr>
          <w:rFonts w:ascii="Times New Roman" w:eastAsia="Times New Roman" w:hAnsi="Times New Roman" w:cs="Times New Roman"/>
        </w:rPr>
        <w:t>El proceso de preparación tiene relación significativa en las medidas de sensibilización en el Sector Defensa año 2021.</w:t>
      </w:r>
    </w:p>
    <w:p w14:paraId="0F058967" w14:textId="3BC7EB56" w:rsidR="00657D48" w:rsidRDefault="003F3EEB">
      <w:pPr>
        <w:tabs>
          <w:tab w:val="left" w:pos="8222"/>
        </w:tabs>
        <w:spacing w:after="200"/>
        <w:ind w:left="425" w:firstLine="567"/>
        <w:jc w:val="both"/>
        <w:rPr>
          <w:rFonts w:ascii="Times New Roman" w:eastAsia="Times New Roman" w:hAnsi="Times New Roman" w:cs="Times New Roman"/>
          <w:b/>
        </w:rPr>
      </w:pPr>
      <w:r>
        <w:rPr>
          <w:rFonts w:ascii="Times New Roman" w:eastAsia="Times New Roman" w:hAnsi="Times New Roman" w:cs="Times New Roman"/>
          <w:b/>
        </w:rPr>
        <w:t xml:space="preserve">HE3. </w:t>
      </w:r>
      <w:r w:rsidR="008D546D" w:rsidRPr="008D546D">
        <w:rPr>
          <w:rFonts w:ascii="Times New Roman" w:eastAsia="Times New Roman" w:hAnsi="Times New Roman" w:cs="Times New Roman"/>
        </w:rPr>
        <w:t>El proceso de respuesta tiene relación significativa en las medidas de implementación en el Sector Defensa año 2021.</w:t>
      </w:r>
    </w:p>
    <w:p w14:paraId="6274E532"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39899285"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6DC6CC9C"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EA463C5"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03947A60"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2276773"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6CB897EB"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00A8F701"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6D1892BD"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62C25166"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53B99B48"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12870235"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606C780E"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3C4691E5"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A57CBBD"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153011CA"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0273D3C"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2C65123F"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3C79C0A5"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25E057E7"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2A990A38"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4C29BCE4"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84059A8"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57BC7246"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378C52A"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pPr>
    </w:p>
    <w:p w14:paraId="7B30BF03" w14:textId="77777777" w:rsidR="00657D48" w:rsidRDefault="00657D48">
      <w:pPr>
        <w:pBdr>
          <w:top w:val="nil"/>
          <w:left w:val="nil"/>
          <w:bottom w:val="nil"/>
          <w:right w:val="nil"/>
          <w:between w:val="nil"/>
        </w:pBdr>
        <w:tabs>
          <w:tab w:val="left" w:pos="8222"/>
        </w:tabs>
        <w:spacing w:after="0"/>
        <w:ind w:left="1701"/>
        <w:jc w:val="both"/>
        <w:rPr>
          <w:rFonts w:ascii="Times New Roman" w:eastAsia="Times New Roman" w:hAnsi="Times New Roman" w:cs="Times New Roman"/>
          <w:color w:val="000000"/>
          <w:sz w:val="12"/>
          <w:szCs w:val="12"/>
        </w:rPr>
        <w:sectPr w:rsidR="00657D48" w:rsidSect="00A71C10">
          <w:headerReference w:type="first" r:id="rId15"/>
          <w:pgSz w:w="11906" w:h="16838"/>
          <w:pgMar w:top="1701" w:right="1701" w:bottom="1701" w:left="2268" w:header="709" w:footer="709" w:gutter="0"/>
          <w:cols w:space="720"/>
        </w:sectPr>
      </w:pPr>
    </w:p>
    <w:p w14:paraId="181CBF84" w14:textId="2F8D05B2" w:rsidR="00657D48" w:rsidRPr="007546F2" w:rsidRDefault="003F3EEB" w:rsidP="007546F2">
      <w:pPr>
        <w:pStyle w:val="Ttulo1"/>
      </w:pPr>
      <w:bookmarkStart w:id="110" w:name="_Toc117518926"/>
      <w:r w:rsidRPr="007546F2">
        <w:rPr>
          <w:color w:val="000000"/>
        </w:rPr>
        <w:lastRenderedPageBreak/>
        <w:t>CAPÍTULO IV.</w:t>
      </w:r>
      <w:bookmarkEnd w:id="110"/>
    </w:p>
    <w:p w14:paraId="21EBF44F" w14:textId="27CBA928" w:rsidR="00657D48" w:rsidRPr="007546F2" w:rsidRDefault="003F3EEB" w:rsidP="007546F2">
      <w:pPr>
        <w:pStyle w:val="Ttulo1"/>
      </w:pPr>
      <w:bookmarkStart w:id="111" w:name="_Toc117518927"/>
      <w:r w:rsidRPr="007546F2">
        <w:rPr>
          <w:color w:val="000000"/>
        </w:rPr>
        <w:t>Metodología de la investigación</w:t>
      </w:r>
      <w:bookmarkEnd w:id="111"/>
    </w:p>
    <w:p w14:paraId="74084DDE" w14:textId="3D11C909" w:rsidR="00657D48" w:rsidRPr="007546F2" w:rsidRDefault="003F3EEB" w:rsidP="007546F2">
      <w:pPr>
        <w:pStyle w:val="Ttulo1"/>
        <w:jc w:val="left"/>
      </w:pPr>
      <w:bookmarkStart w:id="112" w:name="_1smtxgf" w:colFirst="0" w:colLast="0"/>
      <w:bookmarkStart w:id="113" w:name="_Toc117518928"/>
      <w:bookmarkEnd w:id="112"/>
      <w:r w:rsidRPr="007546F2">
        <w:t>4.1 Enfoque de la investigación</w:t>
      </w:r>
      <w:bookmarkEnd w:id="113"/>
    </w:p>
    <w:p w14:paraId="5E825388" w14:textId="36B609AA" w:rsidR="008D546D" w:rsidRDefault="008D546D">
      <w:pPr>
        <w:pBdr>
          <w:top w:val="nil"/>
          <w:left w:val="nil"/>
          <w:bottom w:val="nil"/>
          <w:right w:val="nil"/>
          <w:between w:val="nil"/>
        </w:pBdr>
        <w:spacing w:after="200"/>
        <w:ind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Es de enfoque cuantitativo, porque los procedimientos secuenciales y probatorios se basan en estadísticas. Además, se requirió de un conjunto de datos numéricos para la contra</w:t>
      </w:r>
      <w:r w:rsidR="00AF0269">
        <w:rPr>
          <w:rFonts w:ascii="Times New Roman" w:eastAsia="Times New Roman" w:hAnsi="Times New Roman" w:cs="Times New Roman"/>
          <w:color w:val="000000"/>
        </w:rPr>
        <w:t>s</w:t>
      </w:r>
      <w:r w:rsidRPr="008D546D">
        <w:rPr>
          <w:rFonts w:ascii="Times New Roman" w:eastAsia="Times New Roman" w:hAnsi="Times New Roman" w:cs="Times New Roman"/>
          <w:color w:val="000000"/>
        </w:rPr>
        <w:t>tación de hipótesis, incluso, tales datos permitieron conocer los patrones de evolución de las variables y sus dimensiones (Hernández y Mendoza, 2018).</w:t>
      </w:r>
    </w:p>
    <w:p w14:paraId="0543FF09" w14:textId="7A298BD9" w:rsidR="00657D48" w:rsidRPr="00AF3701" w:rsidRDefault="003F3EEB" w:rsidP="007546F2">
      <w:pPr>
        <w:pStyle w:val="Ttulo1"/>
        <w:jc w:val="left"/>
      </w:pPr>
      <w:bookmarkStart w:id="114" w:name="_4cmhg48" w:colFirst="0" w:colLast="0"/>
      <w:bookmarkStart w:id="115" w:name="_Toc117518929"/>
      <w:bookmarkEnd w:id="114"/>
      <w:r w:rsidRPr="00AF3701">
        <w:t>4.2 Tipo de investigación</w:t>
      </w:r>
      <w:bookmarkEnd w:id="115"/>
      <w:r w:rsidRPr="00AF3701">
        <w:t xml:space="preserve"> </w:t>
      </w:r>
    </w:p>
    <w:p w14:paraId="0D54D1D7" w14:textId="54F4BCDA" w:rsidR="008D546D" w:rsidRDefault="008D546D">
      <w:pPr>
        <w:spacing w:after="200"/>
        <w:ind w:firstLine="567"/>
        <w:jc w:val="both"/>
        <w:rPr>
          <w:rFonts w:ascii="Times New Roman" w:eastAsia="Times New Roman" w:hAnsi="Times New Roman" w:cs="Times New Roman"/>
        </w:rPr>
      </w:pPr>
      <w:bookmarkStart w:id="116" w:name="_2rrrqc1" w:colFirst="0" w:colLast="0"/>
      <w:bookmarkEnd w:id="116"/>
      <w:r w:rsidRPr="008D546D">
        <w:rPr>
          <w:rFonts w:ascii="Times New Roman" w:eastAsia="Times New Roman" w:hAnsi="Times New Roman" w:cs="Times New Roman"/>
        </w:rPr>
        <w:t>Por el tipo de investigación, reunió condiciones necesarias para ser considerada como: básica o pura. Baena (2017) define que este tipo de investigaciones particularmente buscan explicar, ahondar o predecir teóricamente una situación, fenómeno o variable.</w:t>
      </w:r>
    </w:p>
    <w:p w14:paraId="1BC34349" w14:textId="7F4D27A5" w:rsidR="00657D48" w:rsidRPr="00AF3701" w:rsidRDefault="003F3EEB" w:rsidP="007546F2">
      <w:pPr>
        <w:pStyle w:val="Ttulo1"/>
        <w:jc w:val="left"/>
      </w:pPr>
      <w:bookmarkStart w:id="117" w:name="_16x20ju" w:colFirst="0" w:colLast="0"/>
      <w:bookmarkStart w:id="118" w:name="_Toc117518930"/>
      <w:bookmarkEnd w:id="117"/>
      <w:r w:rsidRPr="00AF3701">
        <w:t>4.3 Método de investigación</w:t>
      </w:r>
      <w:bookmarkEnd w:id="118"/>
    </w:p>
    <w:p w14:paraId="2CF9082F" w14:textId="75A7DD7F" w:rsidR="00657D48" w:rsidRDefault="008D546D">
      <w:pPr>
        <w:spacing w:after="200"/>
        <w:ind w:firstLine="567"/>
        <w:jc w:val="both"/>
        <w:rPr>
          <w:rFonts w:ascii="Times New Roman" w:eastAsia="Times New Roman" w:hAnsi="Times New Roman" w:cs="Times New Roman"/>
        </w:rPr>
      </w:pPr>
      <w:bookmarkStart w:id="119" w:name="_3qwpj7n" w:colFirst="0" w:colLast="0"/>
      <w:bookmarkEnd w:id="119"/>
      <w:r w:rsidRPr="008D546D">
        <w:rPr>
          <w:rFonts w:ascii="Times New Roman" w:eastAsia="Times New Roman" w:hAnsi="Times New Roman" w:cs="Times New Roman"/>
        </w:rPr>
        <w:t>En la investigación se empleó el método hipotético-deductivo. Bernal (2016) lo define como un procedimiento que inicia con la formulación de una teoría (hipótesis) y que busca comprobarla o rechazarla cumpliendo un conjunto de pasos valorados científicamente.</w:t>
      </w:r>
    </w:p>
    <w:p w14:paraId="68BBC38C" w14:textId="3A72FCF3" w:rsidR="00657D48" w:rsidRPr="00AF3701" w:rsidRDefault="007546F2" w:rsidP="007546F2">
      <w:pPr>
        <w:pStyle w:val="Ttulo1"/>
        <w:jc w:val="left"/>
      </w:pPr>
      <w:bookmarkStart w:id="120" w:name="_261ztfg" w:colFirst="0" w:colLast="0"/>
      <w:bookmarkStart w:id="121" w:name="_Toc117518931"/>
      <w:bookmarkEnd w:id="120"/>
      <w:r w:rsidRPr="00AF3701">
        <w:t>4</w:t>
      </w:r>
      <w:r w:rsidR="003F3EEB" w:rsidRPr="00AF3701">
        <w:rPr>
          <w:color w:val="000000"/>
        </w:rPr>
        <w:t>.4 Alcance de investigación</w:t>
      </w:r>
      <w:bookmarkEnd w:id="121"/>
      <w:r w:rsidR="003F3EEB" w:rsidRPr="00AF3701">
        <w:rPr>
          <w:color w:val="000000"/>
        </w:rPr>
        <w:t xml:space="preserve"> </w:t>
      </w:r>
    </w:p>
    <w:p w14:paraId="0649AED9" w14:textId="1E57B8E8" w:rsidR="00657D48" w:rsidRDefault="008D546D">
      <w:pPr>
        <w:tabs>
          <w:tab w:val="left" w:pos="8222"/>
        </w:tabs>
        <w:spacing w:after="200"/>
        <w:ind w:firstLine="567"/>
        <w:jc w:val="both"/>
        <w:rPr>
          <w:rFonts w:ascii="Times New Roman" w:eastAsia="Times New Roman" w:hAnsi="Times New Roman" w:cs="Times New Roman"/>
        </w:rPr>
      </w:pPr>
      <w:r w:rsidRPr="008D546D">
        <w:rPr>
          <w:rFonts w:ascii="Times New Roman" w:eastAsia="Times New Roman" w:hAnsi="Times New Roman" w:cs="Times New Roman"/>
        </w:rPr>
        <w:t>El alcance fue descriptivo - correlacional (Gallardo, 2017), pues se busca analizar el comportamiento y características de las variables y, luego proceder a realizar un análisis del grado de asociación que existe entre tales variables en un contexto y tiempo determinado.</w:t>
      </w:r>
    </w:p>
    <w:p w14:paraId="53C57E44" w14:textId="46016D78" w:rsidR="00657D48" w:rsidRDefault="008D546D" w:rsidP="008D546D">
      <w:pPr>
        <w:tabs>
          <w:tab w:val="left" w:pos="8222"/>
        </w:tabs>
        <w:spacing w:after="200"/>
        <w:ind w:firstLine="567"/>
        <w:jc w:val="both"/>
        <w:rPr>
          <w:rFonts w:ascii="Times New Roman" w:eastAsia="Times New Roman" w:hAnsi="Times New Roman" w:cs="Times New Roman"/>
        </w:rPr>
      </w:pPr>
      <w:r w:rsidRPr="008D546D">
        <w:rPr>
          <w:rFonts w:ascii="Times New Roman" w:eastAsia="Times New Roman" w:hAnsi="Times New Roman" w:cs="Times New Roman"/>
        </w:rPr>
        <w:t>Las investigaciones correlacionales se centran en analizar si existe o no asociación entre dos fenómenos, para ello, se aplican procesos cuantitativos e intentan predecir el grado en que una variable puede producir repercusiones sobre</w:t>
      </w:r>
      <w:r>
        <w:rPr>
          <w:rFonts w:ascii="Times New Roman" w:eastAsia="Times New Roman" w:hAnsi="Times New Roman" w:cs="Times New Roman"/>
        </w:rPr>
        <w:t xml:space="preserve"> </w:t>
      </w:r>
      <w:r w:rsidRPr="008D546D">
        <w:rPr>
          <w:rFonts w:ascii="Times New Roman" w:eastAsia="Times New Roman" w:hAnsi="Times New Roman" w:cs="Times New Roman"/>
        </w:rPr>
        <w:lastRenderedPageBreak/>
        <w:t xml:space="preserve">otra variable. En el presente estudio, se buscó demostrar que la gestión de riesgos de desastres </w:t>
      </w:r>
      <w:r w:rsidR="00A17E29" w:rsidRPr="008D546D">
        <w:rPr>
          <w:rFonts w:ascii="Times New Roman" w:eastAsia="Times New Roman" w:hAnsi="Times New Roman" w:cs="Times New Roman"/>
        </w:rPr>
        <w:t>est</w:t>
      </w:r>
      <w:r w:rsidR="00A17E29">
        <w:rPr>
          <w:rFonts w:ascii="Times New Roman" w:eastAsia="Times New Roman" w:hAnsi="Times New Roman" w:cs="Times New Roman"/>
        </w:rPr>
        <w:t>á</w:t>
      </w:r>
      <w:r w:rsidRPr="008D546D">
        <w:rPr>
          <w:rFonts w:ascii="Times New Roman" w:eastAsia="Times New Roman" w:hAnsi="Times New Roman" w:cs="Times New Roman"/>
        </w:rPr>
        <w:t xml:space="preserve"> relacionada a las competencias del sector defensa.</w:t>
      </w:r>
    </w:p>
    <w:p w14:paraId="5A89E2D3" w14:textId="26696168" w:rsidR="00657D48" w:rsidRPr="007546F2" w:rsidRDefault="003F3EEB" w:rsidP="007546F2">
      <w:pPr>
        <w:pStyle w:val="Ttulo1"/>
        <w:jc w:val="left"/>
      </w:pPr>
      <w:bookmarkStart w:id="122" w:name="_l7a3n9" w:colFirst="0" w:colLast="0"/>
      <w:bookmarkStart w:id="123" w:name="_Toc117518932"/>
      <w:bookmarkEnd w:id="122"/>
      <w:r w:rsidRPr="007546F2">
        <w:t>4.5 Diseño de investigación</w:t>
      </w:r>
      <w:bookmarkEnd w:id="123"/>
    </w:p>
    <w:p w14:paraId="76CF969C" w14:textId="138EEC36" w:rsidR="00657D48" w:rsidRDefault="008D546D">
      <w:pPr>
        <w:spacing w:after="200"/>
        <w:ind w:firstLine="567"/>
        <w:jc w:val="both"/>
        <w:rPr>
          <w:rFonts w:ascii="Times New Roman" w:eastAsia="Times New Roman" w:hAnsi="Times New Roman" w:cs="Times New Roman"/>
        </w:rPr>
      </w:pPr>
      <w:r w:rsidRPr="008D546D">
        <w:rPr>
          <w:rFonts w:ascii="Times New Roman" w:eastAsia="Times New Roman" w:hAnsi="Times New Roman" w:cs="Times New Roman"/>
        </w:rPr>
        <w:t>El tipo de diseño que se aplicó fue no experimental, ya que no se pretendió de ningún modo desarrollar alguna modificación o intervención sobre las variables de estudio. También, se infirió que es tipo transversal, se analizó el fenómeno en un momento determinado del tiempo un año (Carrasco, 2013).</w:t>
      </w:r>
    </w:p>
    <w:p w14:paraId="14D1D656" w14:textId="3D500CD6" w:rsidR="00657D48" w:rsidRDefault="008D546D">
      <w:pPr>
        <w:spacing w:after="200"/>
        <w:ind w:firstLine="567"/>
        <w:jc w:val="both"/>
        <w:rPr>
          <w:rFonts w:ascii="Times New Roman" w:eastAsia="Times New Roman" w:hAnsi="Times New Roman" w:cs="Times New Roman"/>
        </w:rPr>
      </w:pPr>
      <w:r w:rsidRPr="008D546D">
        <w:rPr>
          <w:rFonts w:ascii="Times New Roman" w:eastAsia="Times New Roman" w:hAnsi="Times New Roman" w:cs="Times New Roman"/>
        </w:rPr>
        <w:t>En estos tipos de estudios científicos no existen condiciones o estímulos a las unidades o personas. Por el contrario, las unidades sociales son evaluadas en sus condiciones naturales, gráficamente, se podría representar de la siguiente manera:</w:t>
      </w:r>
    </w:p>
    <w:p w14:paraId="511857DD" w14:textId="77777777" w:rsidR="00657D48" w:rsidRDefault="003F3EEB">
      <w:pPr>
        <w:spacing w:after="0"/>
        <w:ind w:left="426"/>
        <w:jc w:val="both"/>
        <w:rPr>
          <w:rFonts w:ascii="Times New Roman" w:eastAsia="Times New Roman" w:hAnsi="Times New Roman" w:cs="Times New Roman"/>
          <w:b/>
        </w:rPr>
      </w:pPr>
      <w:r>
        <w:rPr>
          <w:rFonts w:ascii="Times New Roman" w:eastAsia="Times New Roman" w:hAnsi="Times New Roman" w:cs="Times New Roman"/>
        </w:rPr>
        <w:tab/>
      </w:r>
      <w:r>
        <w:rPr>
          <w:rFonts w:ascii="Times New Roman" w:eastAsia="Times New Roman" w:hAnsi="Times New Roman" w:cs="Times New Roman"/>
          <w:b/>
        </w:rPr>
        <w:tab/>
        <w:t xml:space="preserve">            O</w:t>
      </w:r>
      <w:r>
        <w:rPr>
          <w:rFonts w:ascii="Times New Roman" w:eastAsia="Times New Roman" w:hAnsi="Times New Roman" w:cs="Times New Roman"/>
          <w:b/>
          <w:vertAlign w:val="subscript"/>
        </w:rPr>
        <w:t>X</w:t>
      </w:r>
      <w:r>
        <w:rPr>
          <w:noProof/>
        </w:rPr>
        <mc:AlternateContent>
          <mc:Choice Requires="wps">
            <w:drawing>
              <wp:anchor distT="0" distB="0" distL="114300" distR="114300" simplePos="0" relativeHeight="251658240" behindDoc="0" locked="0" layoutInCell="1" hidden="0" allowOverlap="1" wp14:anchorId="39A2A5E7" wp14:editId="2FC36B3B">
                <wp:simplePos x="0" y="0"/>
                <wp:positionH relativeFrom="column">
                  <wp:posOffset>492760</wp:posOffset>
                </wp:positionH>
                <wp:positionV relativeFrom="paragraph">
                  <wp:posOffset>55880</wp:posOffset>
                </wp:positionV>
                <wp:extent cx="783636" cy="543217"/>
                <wp:effectExtent l="0" t="0" r="35560" b="28575"/>
                <wp:wrapNone/>
                <wp:docPr id="1" name="Conector recto de flech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83636" cy="543217"/>
                        </a:xfrm>
                        <a:prstGeom prst="straightConnector1">
                          <a:avLst/>
                        </a:prstGeom>
                        <a:noFill/>
                        <a:ln w="9525">
                          <a:solidFill>
                            <a:srgbClr val="000000"/>
                          </a:solidFill>
                          <a:round/>
                          <a:headEnd/>
                          <a:tailEnd/>
                        </a:ln>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9973083" id="_x0000_t32" coordsize="21600,21600" o:spt="32" o:oned="t" path="m,l21600,21600e" filled="f">
                <v:path arrowok="t" fillok="f" o:connecttype="none"/>
                <o:lock v:ext="edit" shapetype="t"/>
              </v:shapetype>
              <v:shape id="Conector recto de flecha 1" o:spid="_x0000_s1026" type="#_x0000_t32" style="position:absolute;margin-left:38.8pt;margin-top:4.4pt;width:61.7pt;height:42.75pt;flip:y;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"/>
            </w:pict>
          </mc:Fallback>
        </mc:AlternateContent>
      </w:r>
      <w:r>
        <w:rPr>
          <w:noProof/>
        </w:rPr>
        <mc:AlternateContent>
          <mc:Choice Requires="wps">
            <w:drawing>
              <wp:anchor distT="0" distB="0" distL="114300" distR="114300" simplePos="0" relativeHeight="251659264" behindDoc="0" locked="0" layoutInCell="1" hidden="0" allowOverlap="1" wp14:anchorId="76F587E1" wp14:editId="446AAD96">
                <wp:simplePos x="0" y="0"/>
                <wp:positionH relativeFrom="column">
                  <wp:posOffset>2325370</wp:posOffset>
                </wp:positionH>
                <wp:positionV relativeFrom="paragraph">
                  <wp:posOffset>6985</wp:posOffset>
                </wp:positionV>
                <wp:extent cx="2714625" cy="1313677"/>
                <wp:effectExtent l="0" t="0" r="28575" b="2032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1313677"/>
                        </a:xfrm>
                        <a:prstGeom prst="rect">
                          <a:avLst/>
                        </a:prstGeom>
                        <a:solidFill>
                          <a:srgbClr val="FFFFFF"/>
                        </a:solidFill>
                        <a:ln w="9525">
                          <a:solidFill>
                            <a:sysClr val="window" lastClr="FFFFFF">
                              <a:lumMod val="100000"/>
                              <a:lumOff val="0"/>
                            </a:sysClr>
                          </a:solidFill>
                          <a:miter lim="800000"/>
                          <a:headEnd/>
                          <a:tailEnd/>
                        </a:ln>
                      </wps:spPr>
                      <wps:txbx>
                        <w:txbxContent>
                          <w:p w14:paraId="57D84D50" w14:textId="77777777" w:rsidR="002D22AA" w:rsidRPr="00C50F50"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M</w:t>
                            </w:r>
                            <w:r w:rsidRPr="00C50F50">
                              <w:rPr>
                                <w:rFonts w:ascii="Times New Roman" w:eastAsia="Arial Unicode MS" w:hAnsi="Times New Roman" w:cs="Times New Roman"/>
                                <w:color w:val="000000"/>
                              </w:rPr>
                              <w:t xml:space="preserve"> = </w:t>
                            </w:r>
                            <w:r>
                              <w:rPr>
                                <w:rFonts w:ascii="Times New Roman" w:eastAsia="Arial Unicode MS" w:hAnsi="Times New Roman" w:cs="Times New Roman"/>
                                <w:color w:val="000000"/>
                              </w:rPr>
                              <w:t>Muestra</w:t>
                            </w:r>
                            <w:r w:rsidRPr="00C50F50">
                              <w:rPr>
                                <w:rFonts w:ascii="Times New Roman" w:eastAsia="Arial Unicode MS" w:hAnsi="Times New Roman" w:cs="Times New Roman"/>
                                <w:color w:val="000000"/>
                              </w:rPr>
                              <w:tab/>
                            </w:r>
                            <w:r w:rsidRPr="00C50F50">
                              <w:rPr>
                                <w:rFonts w:ascii="Times New Roman" w:eastAsia="Arial Unicode MS" w:hAnsi="Times New Roman" w:cs="Times New Roman"/>
                                <w:color w:val="000000"/>
                              </w:rPr>
                              <w:tab/>
                            </w:r>
                            <w:r w:rsidRPr="00C50F50">
                              <w:rPr>
                                <w:rFonts w:ascii="Times New Roman" w:eastAsia="Arial Unicode MS" w:hAnsi="Times New Roman" w:cs="Times New Roman"/>
                                <w:color w:val="000000"/>
                              </w:rPr>
                              <w:tab/>
                              <w:t xml:space="preserve"> </w:t>
                            </w:r>
                          </w:p>
                          <w:p w14:paraId="201AD7D9" w14:textId="77777777" w:rsidR="002D22AA" w:rsidRPr="00C50F50"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O</w:t>
                            </w:r>
                            <w:r w:rsidRPr="00C50F50">
                              <w:rPr>
                                <w:rFonts w:ascii="Times New Roman" w:eastAsia="Arial Unicode MS" w:hAnsi="Times New Roman" w:cs="Times New Roman"/>
                                <w:b/>
                                <w:color w:val="000000"/>
                                <w:vertAlign w:val="subscript"/>
                              </w:rPr>
                              <w:t xml:space="preserve">X </w:t>
                            </w:r>
                            <w:r>
                              <w:rPr>
                                <w:rFonts w:ascii="Times New Roman" w:eastAsia="Arial Unicode MS" w:hAnsi="Times New Roman" w:cs="Times New Roman"/>
                                <w:color w:val="000000"/>
                              </w:rPr>
                              <w:t>= Variable 1</w:t>
                            </w:r>
                          </w:p>
                          <w:p w14:paraId="40D754E2" w14:textId="77777777" w:rsidR="002D22AA"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O</w:t>
                            </w:r>
                            <w:r w:rsidRPr="00C50F50">
                              <w:rPr>
                                <w:rFonts w:ascii="Times New Roman" w:eastAsia="Arial Unicode MS" w:hAnsi="Times New Roman" w:cs="Times New Roman"/>
                                <w:b/>
                                <w:color w:val="000000"/>
                                <w:vertAlign w:val="subscript"/>
                              </w:rPr>
                              <w:t xml:space="preserve">Y </w:t>
                            </w:r>
                            <w:r>
                              <w:rPr>
                                <w:rFonts w:ascii="Times New Roman" w:eastAsia="Arial Unicode MS" w:hAnsi="Times New Roman" w:cs="Times New Roman"/>
                                <w:color w:val="000000"/>
                              </w:rPr>
                              <w:t>= Variable 2</w:t>
                            </w:r>
                          </w:p>
                          <w:p w14:paraId="1FE02CA8" w14:textId="77777777" w:rsidR="002D22AA" w:rsidRPr="00C947DF" w:rsidRDefault="002D22AA" w:rsidP="003F3EEB">
                            <w:pPr>
                              <w:jc w:val="both"/>
                              <w:rPr>
                                <w:rFonts w:ascii="Times New Roman" w:hAnsi="Times New Roman" w:cs="Times New Roman"/>
                              </w:rPr>
                            </w:pPr>
                            <w:r w:rsidRPr="00C947DF">
                              <w:rPr>
                                <w:rFonts w:ascii="Times New Roman" w:hAnsi="Times New Roman" w:cs="Times New Roman"/>
                                <w:b/>
                              </w:rPr>
                              <w:t>I=</w:t>
                            </w:r>
                            <w:r w:rsidRPr="00C947DF">
                              <w:rPr>
                                <w:rFonts w:ascii="Times New Roman" w:hAnsi="Times New Roman" w:cs="Times New Roman"/>
                              </w:rPr>
                              <w:t xml:space="preserve"> Interdependencia entre las variables</w:t>
                            </w:r>
                          </w:p>
                          <w:p w14:paraId="761DF89A" w14:textId="77777777" w:rsidR="002D22AA" w:rsidRPr="00C50F50" w:rsidRDefault="002D22AA" w:rsidP="003F3EEB">
                            <w:pPr>
                              <w:rPr>
                                <w:rFonts w:ascii="Times New Roman" w:eastAsia="Arial Unicode MS" w:hAnsi="Times New Roman" w:cs="Times New Roman"/>
                                <w:color w:val="000000"/>
                              </w:rPr>
                            </w:pPr>
                          </w:p>
                          <w:p w14:paraId="76D72866" w14:textId="77777777" w:rsidR="002D22AA" w:rsidRDefault="002D22AA" w:rsidP="003F3EEB"/>
                        </w:txbxContent>
                      </wps:txbx>
                      <wps:bodyPr rot="0" vert="horz" wrap="square" lIns="91440" tIns="45720" rIns="91440" bIns="45720" anchor="t" anchorCtr="0" upright="1">
                        <a:noAutofit/>
                      </wps:bodyPr>
                    </wps:wsp>
                  </a:graphicData>
                </a:graphic>
              </wp:anchor>
            </w:drawing>
          </mc:Choice>
          <mc:Fallback>
            <w:pict>
              <v:shapetype w14:anchorId="76F587E1" id="_x0000_t202" coordsize="21600,21600" o:spt="202" path="m,l,21600r21600,l21600,xe">
                <v:stroke joinstyle="miter"/>
                <v:path gradientshapeok="t" o:connecttype="rect"/>
              </v:shapetype>
              <v:shape id="Cuadro de texto 2" o:spid="_x0000_s1026" type="#_x0000_t202" style="position:absolute;left:0;text-align:left;margin-left:183.1pt;margin-top:.55pt;width:213.75pt;height:103.4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" strokecolor="white">
                <v:textbox>
                  <w:txbxContent>
                    <w:p w14:paraId="57D84D50" w14:textId="77777777" w:rsidR="002D22AA" w:rsidRPr="00C50F50"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M</w:t>
                      </w:r>
                      <w:r w:rsidRPr="00C50F50">
                        <w:rPr>
                          <w:rFonts w:ascii="Times New Roman" w:eastAsia="Arial Unicode MS" w:hAnsi="Times New Roman" w:cs="Times New Roman"/>
                          <w:color w:val="000000"/>
                        </w:rPr>
                        <w:t xml:space="preserve"> = </w:t>
                      </w:r>
                      <w:r>
                        <w:rPr>
                          <w:rFonts w:ascii="Times New Roman" w:eastAsia="Arial Unicode MS" w:hAnsi="Times New Roman" w:cs="Times New Roman"/>
                          <w:color w:val="000000"/>
                        </w:rPr>
                        <w:t>Muestra</w:t>
                      </w:r>
                      <w:r w:rsidRPr="00C50F50">
                        <w:rPr>
                          <w:rFonts w:ascii="Times New Roman" w:eastAsia="Arial Unicode MS" w:hAnsi="Times New Roman" w:cs="Times New Roman"/>
                          <w:color w:val="000000"/>
                        </w:rPr>
                        <w:tab/>
                      </w:r>
                      <w:r w:rsidRPr="00C50F50">
                        <w:rPr>
                          <w:rFonts w:ascii="Times New Roman" w:eastAsia="Arial Unicode MS" w:hAnsi="Times New Roman" w:cs="Times New Roman"/>
                          <w:color w:val="000000"/>
                        </w:rPr>
                        <w:tab/>
                      </w:r>
                      <w:r w:rsidRPr="00C50F50">
                        <w:rPr>
                          <w:rFonts w:ascii="Times New Roman" w:eastAsia="Arial Unicode MS" w:hAnsi="Times New Roman" w:cs="Times New Roman"/>
                          <w:color w:val="000000"/>
                        </w:rPr>
                        <w:tab/>
                        <w:t xml:space="preserve"> </w:t>
                      </w:r>
                    </w:p>
                    <w:p w14:paraId="201AD7D9" w14:textId="77777777" w:rsidR="002D22AA" w:rsidRPr="00C50F50"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O</w:t>
                      </w:r>
                      <w:r w:rsidRPr="00C50F50">
                        <w:rPr>
                          <w:rFonts w:ascii="Times New Roman" w:eastAsia="Arial Unicode MS" w:hAnsi="Times New Roman" w:cs="Times New Roman"/>
                          <w:b/>
                          <w:color w:val="000000"/>
                          <w:vertAlign w:val="subscript"/>
                        </w:rPr>
                        <w:t xml:space="preserve">X </w:t>
                      </w:r>
                      <w:r>
                        <w:rPr>
                          <w:rFonts w:ascii="Times New Roman" w:eastAsia="Arial Unicode MS" w:hAnsi="Times New Roman" w:cs="Times New Roman"/>
                          <w:color w:val="000000"/>
                        </w:rPr>
                        <w:t>= Variable 1</w:t>
                      </w:r>
                    </w:p>
                    <w:p w14:paraId="40D754E2" w14:textId="77777777" w:rsidR="002D22AA" w:rsidRDefault="002D22AA" w:rsidP="003F3EEB">
                      <w:pPr>
                        <w:spacing w:line="240" w:lineRule="auto"/>
                        <w:rPr>
                          <w:rFonts w:ascii="Times New Roman" w:eastAsia="Arial Unicode MS" w:hAnsi="Times New Roman" w:cs="Times New Roman"/>
                          <w:color w:val="000000"/>
                        </w:rPr>
                      </w:pPr>
                      <w:r w:rsidRPr="00C50F50">
                        <w:rPr>
                          <w:rFonts w:ascii="Times New Roman" w:eastAsia="Arial Unicode MS" w:hAnsi="Times New Roman" w:cs="Times New Roman"/>
                          <w:b/>
                          <w:color w:val="000000"/>
                        </w:rPr>
                        <w:t>O</w:t>
                      </w:r>
                      <w:r w:rsidRPr="00C50F50">
                        <w:rPr>
                          <w:rFonts w:ascii="Times New Roman" w:eastAsia="Arial Unicode MS" w:hAnsi="Times New Roman" w:cs="Times New Roman"/>
                          <w:b/>
                          <w:color w:val="000000"/>
                          <w:vertAlign w:val="subscript"/>
                        </w:rPr>
                        <w:t xml:space="preserve">Y </w:t>
                      </w:r>
                      <w:r>
                        <w:rPr>
                          <w:rFonts w:ascii="Times New Roman" w:eastAsia="Arial Unicode MS" w:hAnsi="Times New Roman" w:cs="Times New Roman"/>
                          <w:color w:val="000000"/>
                        </w:rPr>
                        <w:t>= Variable 2</w:t>
                      </w:r>
                    </w:p>
                    <w:p w14:paraId="1FE02CA8" w14:textId="77777777" w:rsidR="002D22AA" w:rsidRPr="00C947DF" w:rsidRDefault="002D22AA" w:rsidP="003F3EEB">
                      <w:pPr>
                        <w:jc w:val="both"/>
                        <w:rPr>
                          <w:rFonts w:ascii="Times New Roman" w:hAnsi="Times New Roman" w:cs="Times New Roman"/>
                        </w:rPr>
                      </w:pPr>
                      <w:r w:rsidRPr="00C947DF">
                        <w:rPr>
                          <w:rFonts w:ascii="Times New Roman" w:hAnsi="Times New Roman" w:cs="Times New Roman"/>
                          <w:b/>
                        </w:rPr>
                        <w:t>I=</w:t>
                      </w:r>
                      <w:r w:rsidRPr="00C947DF">
                        <w:rPr>
                          <w:rFonts w:ascii="Times New Roman" w:hAnsi="Times New Roman" w:cs="Times New Roman"/>
                        </w:rPr>
                        <w:t xml:space="preserve"> Interdependencia entre las variables</w:t>
                      </w:r>
                    </w:p>
                    <w:p w14:paraId="761DF89A" w14:textId="77777777" w:rsidR="002D22AA" w:rsidRPr="00C50F50" w:rsidRDefault="002D22AA" w:rsidP="003F3EEB">
                      <w:pPr>
                        <w:rPr>
                          <w:rFonts w:ascii="Times New Roman" w:eastAsia="Arial Unicode MS" w:hAnsi="Times New Roman" w:cs="Times New Roman"/>
                          <w:color w:val="000000"/>
                        </w:rPr>
                      </w:pPr>
                    </w:p>
                    <w:p w14:paraId="76D72866" w14:textId="77777777" w:rsidR="002D22AA" w:rsidRDefault="002D22AA" w:rsidP="003F3EEB"/>
                  </w:txbxContent>
                </v:textbox>
              </v:shape>
            </w:pict>
          </mc:Fallback>
        </mc:AlternateContent>
      </w:r>
    </w:p>
    <w:p w14:paraId="2DEFA316" w14:textId="77777777" w:rsidR="00657D48" w:rsidRDefault="003F3EEB">
      <w:pPr>
        <w:spacing w:after="0"/>
        <w:jc w:val="both"/>
        <w:rPr>
          <w:rFonts w:ascii="Times New Roman" w:eastAsia="Times New Roman" w:hAnsi="Times New Roman" w:cs="Times New Roman"/>
          <w:b/>
        </w:rPr>
      </w:pPr>
      <w:r>
        <w:rPr>
          <w:rFonts w:ascii="Times New Roman" w:eastAsia="Times New Roman" w:hAnsi="Times New Roman" w:cs="Times New Roman"/>
          <w:b/>
        </w:rPr>
        <w:t xml:space="preserve">                         </w:t>
      </w:r>
      <w:r>
        <w:rPr>
          <w:noProof/>
        </w:rPr>
        <mc:AlternateContent>
          <mc:Choice Requires="wps">
            <w:drawing>
              <wp:anchor distT="0" distB="0" distL="114300" distR="114300" simplePos="0" relativeHeight="251660288" behindDoc="0" locked="0" layoutInCell="1" hidden="0" allowOverlap="1" wp14:anchorId="4B922E3B" wp14:editId="42046600">
                <wp:simplePos x="0" y="0"/>
                <wp:positionH relativeFrom="column">
                  <wp:posOffset>1276985</wp:posOffset>
                </wp:positionH>
                <wp:positionV relativeFrom="paragraph">
                  <wp:posOffset>14605</wp:posOffset>
                </wp:positionV>
                <wp:extent cx="0" cy="752475"/>
                <wp:effectExtent l="0" t="0" r="38100" b="28575"/>
                <wp:wrapNone/>
                <wp:docPr id="5" name="Conector recto 5"/>
                <wp:cNvGraphicFramePr/>
                <a:graphic xmlns:a="http://schemas.openxmlformats.org/drawingml/2006/main">
                  <a:graphicData uri="http://schemas.microsoft.com/office/word/2010/wordprocessingShape">
                    <wps:wsp>
                      <wps:cNvCnPr/>
                      <wps:spPr>
                        <a:xfrm flipH="1">
                          <a:off x="0" y="0"/>
                          <a:ext cx="0" cy="752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C39DEC9" id="Conector recto 5" o:spid="_x0000_s1026"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from="100.55pt,1.15pt" to="100.55pt,6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" strokecolor="black [3040]"/>
            </w:pict>
          </mc:Fallback>
        </mc:AlternateContent>
      </w:r>
    </w:p>
    <w:p w14:paraId="5D5048C0" w14:textId="77777777" w:rsidR="00657D48" w:rsidRDefault="003F3EEB">
      <w:pPr>
        <w:spacing w:after="0"/>
        <w:jc w:val="both"/>
        <w:rPr>
          <w:rFonts w:ascii="Times New Roman" w:eastAsia="Times New Roman" w:hAnsi="Times New Roman" w:cs="Times New Roman"/>
          <w:b/>
        </w:rPr>
      </w:pPr>
      <w:r>
        <w:rPr>
          <w:rFonts w:ascii="Times New Roman" w:eastAsia="Times New Roman" w:hAnsi="Times New Roman" w:cs="Times New Roman"/>
          <w:b/>
        </w:rPr>
        <w:t xml:space="preserve">        M</w:t>
      </w:r>
      <w:r>
        <w:rPr>
          <w:rFonts w:ascii="Times New Roman" w:eastAsia="Times New Roman" w:hAnsi="Times New Roman" w:cs="Times New Roman"/>
          <w:b/>
        </w:rPr>
        <w:tab/>
      </w:r>
      <w:r>
        <w:rPr>
          <w:rFonts w:ascii="Times New Roman" w:eastAsia="Times New Roman" w:hAnsi="Times New Roman" w:cs="Times New Roman"/>
          <w:b/>
        </w:rPr>
        <w:tab/>
        <w:t xml:space="preserve">             I</w:t>
      </w:r>
      <w:r>
        <w:rPr>
          <w:noProof/>
        </w:rPr>
        <mc:AlternateContent>
          <mc:Choice Requires="wps">
            <w:drawing>
              <wp:anchor distT="0" distB="0" distL="114300" distR="114300" simplePos="0" relativeHeight="251661312" behindDoc="0" locked="0" layoutInCell="1" hidden="0" allowOverlap="1" wp14:anchorId="3DC9DC4D" wp14:editId="041548B3">
                <wp:simplePos x="0" y="0"/>
                <wp:positionH relativeFrom="column">
                  <wp:posOffset>502920</wp:posOffset>
                </wp:positionH>
                <wp:positionV relativeFrom="paragraph">
                  <wp:posOffset>85090</wp:posOffset>
                </wp:positionV>
                <wp:extent cx="774065" cy="533400"/>
                <wp:effectExtent l="0" t="0" r="26035" b="19050"/>
                <wp:wrapNone/>
                <wp:docPr id="3"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4065" cy="533400"/>
                        </a:xfrm>
                        <a:prstGeom prst="straightConnector1">
                          <a:avLst/>
                        </a:prstGeom>
                        <a:noFill/>
                        <a:ln w="9525">
                          <a:solidFill>
                            <a:srgbClr val="000000"/>
                          </a:solidFill>
                          <a:round/>
                          <a:headEnd/>
                          <a:tailEnd/>
                        </a:ln>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1A132F" id="Conector recto de flecha 3" o:spid="_x0000_s1026" type="#_x0000_t32" style="position:absolute;margin-left:39.6pt;margin-top:6.7pt;width:60.95pt;height:42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"/>
            </w:pict>
          </mc:Fallback>
        </mc:AlternateContent>
      </w:r>
    </w:p>
    <w:p w14:paraId="6C03CBB5" w14:textId="77777777" w:rsidR="00657D48" w:rsidRDefault="00657D48">
      <w:pPr>
        <w:spacing w:after="0"/>
        <w:jc w:val="both"/>
        <w:rPr>
          <w:rFonts w:ascii="Times New Roman" w:eastAsia="Times New Roman" w:hAnsi="Times New Roman" w:cs="Times New Roman"/>
          <w:b/>
        </w:rPr>
      </w:pPr>
    </w:p>
    <w:p w14:paraId="68AAD66A" w14:textId="77777777" w:rsidR="00657D48" w:rsidRDefault="003F3EEB">
      <w:pPr>
        <w:pBdr>
          <w:top w:val="nil"/>
          <w:left w:val="nil"/>
          <w:bottom w:val="nil"/>
          <w:right w:val="nil"/>
          <w:between w:val="nil"/>
        </w:pBdr>
        <w:tabs>
          <w:tab w:val="left" w:pos="8222"/>
        </w:tabs>
        <w:spacing w:before="240" w:after="0" w:line="240" w:lineRule="auto"/>
        <w:ind w:left="2127"/>
        <w:rPr>
          <w:rFonts w:ascii="Times New Roman" w:eastAsia="Times New Roman" w:hAnsi="Times New Roman" w:cs="Times New Roman"/>
          <w:i/>
          <w:color w:val="000000"/>
          <w:sz w:val="20"/>
          <w:szCs w:val="20"/>
        </w:rPr>
      </w:pPr>
      <w:r>
        <w:rPr>
          <w:rFonts w:ascii="Times New Roman" w:eastAsia="Times New Roman" w:hAnsi="Times New Roman" w:cs="Times New Roman"/>
          <w:b/>
          <w:color w:val="000000"/>
        </w:rPr>
        <w:t xml:space="preserve"> O</w:t>
      </w:r>
      <w:r>
        <w:rPr>
          <w:rFonts w:ascii="Times New Roman" w:eastAsia="Times New Roman" w:hAnsi="Times New Roman" w:cs="Times New Roman"/>
          <w:b/>
          <w:color w:val="000000"/>
          <w:vertAlign w:val="subscript"/>
        </w:rPr>
        <w:t>Y</w:t>
      </w:r>
    </w:p>
    <w:p w14:paraId="310B3493" w14:textId="667E1200" w:rsidR="00657D48" w:rsidRPr="007546F2" w:rsidRDefault="003F3EEB" w:rsidP="007546F2">
      <w:pPr>
        <w:pStyle w:val="Ttulo1"/>
        <w:jc w:val="left"/>
      </w:pPr>
      <w:bookmarkStart w:id="124" w:name="_356xmb2" w:colFirst="0" w:colLast="0"/>
      <w:bookmarkStart w:id="125" w:name="_Toc117518933"/>
      <w:bookmarkEnd w:id="124"/>
      <w:r w:rsidRPr="007546F2">
        <w:t>4.6 Población, muestra, unidad de estudio</w:t>
      </w:r>
      <w:bookmarkEnd w:id="125"/>
    </w:p>
    <w:p w14:paraId="15ECB12A" w14:textId="285AF343" w:rsidR="00657D48" w:rsidRPr="007546F2" w:rsidRDefault="003F3EEB" w:rsidP="007546F2">
      <w:pPr>
        <w:pStyle w:val="Ttulo1"/>
        <w:ind w:firstLine="426"/>
        <w:jc w:val="left"/>
      </w:pPr>
      <w:bookmarkStart w:id="126" w:name="_1kc7wiv" w:colFirst="0" w:colLast="0"/>
      <w:bookmarkStart w:id="127" w:name="_Toc117518934"/>
      <w:bookmarkEnd w:id="126"/>
      <w:r w:rsidRPr="007546F2">
        <w:t>4.6.1 Población</w:t>
      </w:r>
      <w:bookmarkEnd w:id="127"/>
    </w:p>
    <w:p w14:paraId="34554FDB" w14:textId="6480D8DC" w:rsidR="00657D48" w:rsidRDefault="008D546D">
      <w:pPr>
        <w:tabs>
          <w:tab w:val="left" w:pos="8222"/>
        </w:tabs>
        <w:spacing w:after="200"/>
        <w:ind w:left="426" w:firstLine="567"/>
        <w:jc w:val="both"/>
        <w:rPr>
          <w:rFonts w:ascii="Times New Roman" w:eastAsia="Times New Roman" w:hAnsi="Times New Roman" w:cs="Times New Roman"/>
        </w:rPr>
      </w:pPr>
      <w:r w:rsidRPr="008D546D">
        <w:rPr>
          <w:rFonts w:ascii="Times New Roman" w:eastAsia="Times New Roman" w:hAnsi="Times New Roman" w:cs="Times New Roman"/>
        </w:rPr>
        <w:t>población de estudio es de 120.000 entre oficiales, técnicos, suboficiales y empleados civiles funcionarios del Sector Defensa a nivel nacional.</w:t>
      </w:r>
    </w:p>
    <w:p w14:paraId="47E555DB" w14:textId="077D7FE9" w:rsidR="00657D48" w:rsidRPr="007546F2" w:rsidRDefault="003F3EEB" w:rsidP="007546F2">
      <w:pPr>
        <w:pStyle w:val="Ttulo1"/>
        <w:ind w:firstLine="426"/>
        <w:jc w:val="left"/>
      </w:pPr>
      <w:bookmarkStart w:id="128" w:name="_44bvf6o" w:colFirst="0" w:colLast="0"/>
      <w:bookmarkStart w:id="129" w:name="_Toc117518935"/>
      <w:bookmarkEnd w:id="128"/>
      <w:r w:rsidRPr="007546F2">
        <w:t>4.6.2 Muestra</w:t>
      </w:r>
      <w:bookmarkEnd w:id="129"/>
    </w:p>
    <w:p w14:paraId="441B8F78" w14:textId="1CEC9F89" w:rsidR="00657D48" w:rsidRDefault="008D546D">
      <w:pPr>
        <w:spacing w:after="200"/>
        <w:ind w:left="426" w:firstLine="567"/>
        <w:jc w:val="both"/>
        <w:rPr>
          <w:rFonts w:ascii="Times New Roman" w:eastAsia="Times New Roman" w:hAnsi="Times New Roman" w:cs="Times New Roman"/>
        </w:rPr>
      </w:pPr>
      <w:r w:rsidRPr="008D546D">
        <w:rPr>
          <w:rFonts w:ascii="Times New Roman" w:eastAsia="Times New Roman" w:hAnsi="Times New Roman" w:cs="Times New Roman"/>
        </w:rPr>
        <w:t>Para definir el total de la muestra se utilizó el muestreo no probabilístico de tipo causal (Baena, 2017).</w:t>
      </w:r>
    </w:p>
    <w:p w14:paraId="705BD16C" w14:textId="22F4E562" w:rsidR="00657D48" w:rsidRDefault="008D546D">
      <w:pPr>
        <w:spacing w:after="200"/>
        <w:ind w:left="426" w:firstLine="567"/>
        <w:jc w:val="both"/>
        <w:rPr>
          <w:rFonts w:ascii="Times New Roman" w:eastAsia="Times New Roman" w:hAnsi="Times New Roman" w:cs="Times New Roman"/>
        </w:rPr>
      </w:pPr>
      <w:r w:rsidRPr="008D546D">
        <w:rPr>
          <w:rFonts w:ascii="Times New Roman" w:eastAsia="Times New Roman" w:hAnsi="Times New Roman" w:cs="Times New Roman"/>
        </w:rPr>
        <w:t>La fórmula para estimar muestras con proporciones para una población conocida propuesta por Carvajal (2019) es la utilizada para la determinación de la muestra óptima:</w:t>
      </w:r>
    </w:p>
    <w:p w14:paraId="0D7E0C7B" w14:textId="77777777" w:rsidR="00657D48" w:rsidRDefault="003F3EEB">
      <w:pPr>
        <w:widowControl w:val="0"/>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Z</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PQN</w:t>
      </w:r>
    </w:p>
    <w:p w14:paraId="37B1820E" w14:textId="77777777" w:rsidR="00657D48" w:rsidRDefault="003F3EEB">
      <w:pPr>
        <w:widowControl w:val="0"/>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n = ----------------------------</w:t>
      </w:r>
    </w:p>
    <w:p w14:paraId="2FD735D8" w14:textId="77777777" w:rsidR="00657D48" w:rsidRDefault="003F3EEB">
      <w:pPr>
        <w:widowControl w:val="0"/>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e</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(N-1) + Z</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PQ</w:t>
      </w:r>
    </w:p>
    <w:p w14:paraId="2A8004F2" w14:textId="77777777" w:rsidR="00657D48" w:rsidRDefault="003F3EEB" w:rsidP="008D546D">
      <w:pPr>
        <w:spacing w:after="100"/>
        <w:ind w:left="1701" w:hanging="709"/>
        <w:jc w:val="both"/>
        <w:rPr>
          <w:rFonts w:ascii="Times New Roman" w:eastAsia="Times New Roman" w:hAnsi="Times New Roman" w:cs="Times New Roman"/>
        </w:rPr>
      </w:pPr>
      <w:r>
        <w:rPr>
          <w:rFonts w:ascii="Times New Roman" w:eastAsia="Times New Roman" w:hAnsi="Times New Roman" w:cs="Times New Roman"/>
        </w:rPr>
        <w:lastRenderedPageBreak/>
        <w:t>Z = Probabilidad del 95% de confianza.</w:t>
      </w:r>
    </w:p>
    <w:p w14:paraId="0C4A8C5D" w14:textId="77777777" w:rsidR="00657D48" w:rsidRDefault="003F3EEB" w:rsidP="008D546D">
      <w:pPr>
        <w:spacing w:after="100"/>
        <w:ind w:left="1701" w:hanging="709"/>
        <w:jc w:val="both"/>
        <w:rPr>
          <w:rFonts w:ascii="Times New Roman" w:eastAsia="Times New Roman" w:hAnsi="Times New Roman" w:cs="Times New Roman"/>
        </w:rPr>
      </w:pPr>
      <w:r>
        <w:rPr>
          <w:rFonts w:ascii="Times New Roman" w:eastAsia="Times New Roman" w:hAnsi="Times New Roman" w:cs="Times New Roman"/>
        </w:rPr>
        <w:t>e = Margen de error muestral 5%</w:t>
      </w:r>
    </w:p>
    <w:p w14:paraId="22F77419" w14:textId="77777777" w:rsidR="00657D48" w:rsidRDefault="003F3EEB" w:rsidP="008D546D">
      <w:pPr>
        <w:spacing w:after="100"/>
        <w:ind w:left="1701" w:hanging="709"/>
        <w:jc w:val="both"/>
        <w:rPr>
          <w:rFonts w:ascii="Times New Roman" w:eastAsia="Times New Roman" w:hAnsi="Times New Roman" w:cs="Times New Roman"/>
        </w:rPr>
      </w:pPr>
      <w:r>
        <w:rPr>
          <w:rFonts w:ascii="Times New Roman" w:eastAsia="Times New Roman" w:hAnsi="Times New Roman" w:cs="Times New Roman"/>
        </w:rPr>
        <w:t xml:space="preserve">p = </w:t>
      </w:r>
      <w:r>
        <w:rPr>
          <w:rFonts w:ascii="Times New Roman" w:eastAsia="Times New Roman" w:hAnsi="Times New Roman" w:cs="Times New Roman"/>
          <w:b/>
          <w:shd w:val="clear" w:color="auto" w:fill="FDFDFD"/>
        </w:rPr>
        <w:t>Si</w:t>
      </w:r>
      <w:r>
        <w:rPr>
          <w:rFonts w:ascii="Times New Roman" w:eastAsia="Times New Roman" w:hAnsi="Times New Roman" w:cs="Times New Roman"/>
          <w:shd w:val="clear" w:color="auto" w:fill="FDFDFD"/>
        </w:rPr>
        <w:t xml:space="preserve"> están de acuerdo </w:t>
      </w:r>
      <w:r>
        <w:rPr>
          <w:rFonts w:ascii="Times New Roman" w:eastAsia="Times New Roman" w:hAnsi="Times New Roman" w:cs="Times New Roman"/>
        </w:rPr>
        <w:t>(Se asume Q=0.5)</w:t>
      </w:r>
    </w:p>
    <w:p w14:paraId="0A2DB249" w14:textId="77777777" w:rsidR="00657D48" w:rsidRDefault="003F3EEB" w:rsidP="008D546D">
      <w:pPr>
        <w:spacing w:after="100"/>
        <w:ind w:left="1701" w:hanging="709"/>
        <w:jc w:val="both"/>
        <w:rPr>
          <w:rFonts w:ascii="Times New Roman" w:eastAsia="Times New Roman" w:hAnsi="Times New Roman" w:cs="Times New Roman"/>
        </w:rPr>
      </w:pPr>
      <w:r>
        <w:rPr>
          <w:rFonts w:ascii="Times New Roman" w:eastAsia="Times New Roman" w:hAnsi="Times New Roman" w:cs="Times New Roman"/>
        </w:rPr>
        <w:t xml:space="preserve">q = </w:t>
      </w:r>
      <w:r>
        <w:rPr>
          <w:rFonts w:ascii="Times New Roman" w:eastAsia="Times New Roman" w:hAnsi="Times New Roman" w:cs="Times New Roman"/>
          <w:b/>
          <w:shd w:val="clear" w:color="auto" w:fill="FDFDFD"/>
        </w:rPr>
        <w:t xml:space="preserve">No </w:t>
      </w:r>
      <w:r>
        <w:rPr>
          <w:rFonts w:ascii="Times New Roman" w:eastAsia="Times New Roman" w:hAnsi="Times New Roman" w:cs="Times New Roman"/>
          <w:shd w:val="clear" w:color="auto" w:fill="FDFDFD"/>
        </w:rPr>
        <w:t xml:space="preserve">están de acuerdo </w:t>
      </w:r>
      <w:r>
        <w:rPr>
          <w:rFonts w:ascii="Times New Roman" w:eastAsia="Times New Roman" w:hAnsi="Times New Roman" w:cs="Times New Roman"/>
        </w:rPr>
        <w:t>(Se asume Q=0.5)</w:t>
      </w:r>
    </w:p>
    <w:p w14:paraId="161D4DC6" w14:textId="77777777" w:rsidR="00657D48" w:rsidRDefault="003F3EEB" w:rsidP="008D546D">
      <w:pPr>
        <w:spacing w:after="100"/>
        <w:ind w:left="1701" w:hanging="709"/>
        <w:jc w:val="both"/>
        <w:rPr>
          <w:rFonts w:ascii="Times New Roman" w:eastAsia="Times New Roman" w:hAnsi="Times New Roman" w:cs="Times New Roman"/>
        </w:rPr>
      </w:pPr>
      <w:r>
        <w:rPr>
          <w:rFonts w:ascii="Times New Roman" w:eastAsia="Times New Roman" w:hAnsi="Times New Roman" w:cs="Times New Roman"/>
        </w:rPr>
        <w:t>N = Población objeto de estudio (120,000).</w:t>
      </w:r>
    </w:p>
    <w:p w14:paraId="7D3D61B1" w14:textId="77777777" w:rsidR="00657D48" w:rsidRDefault="003F3EEB">
      <w:pPr>
        <w:spacing w:after="200"/>
        <w:ind w:left="425" w:firstLine="567"/>
        <w:jc w:val="both"/>
        <w:rPr>
          <w:rFonts w:ascii="Times New Roman" w:eastAsia="Times New Roman" w:hAnsi="Times New Roman" w:cs="Times New Roman"/>
        </w:rPr>
      </w:pPr>
      <w:r>
        <w:rPr>
          <w:rFonts w:ascii="Times New Roman" w:eastAsia="Times New Roman" w:hAnsi="Times New Roman" w:cs="Times New Roman"/>
        </w:rPr>
        <w:t>Al considerar un nivel de confianza del 95% y 5% de margen de error se tiene:</w:t>
      </w:r>
    </w:p>
    <w:p w14:paraId="36D9CF6B" w14:textId="77777777" w:rsidR="00657D48" w:rsidRDefault="003F3EEB">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(1.96)</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(0.5) (0.5) (120,000)</w:t>
      </w:r>
    </w:p>
    <w:p w14:paraId="5CF7091F" w14:textId="77777777" w:rsidR="00657D48" w:rsidRDefault="003F3EEB">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n = -----------------------------------------------</w:t>
      </w:r>
    </w:p>
    <w:p w14:paraId="0C25CE85" w14:textId="77777777" w:rsidR="00657D48" w:rsidRDefault="003F3EEB">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 xml:space="preserve">(0.05) </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(120,000-1) + (1.96)</w:t>
      </w:r>
      <w:r>
        <w:rPr>
          <w:rFonts w:ascii="Times New Roman" w:eastAsia="Times New Roman" w:hAnsi="Times New Roman" w:cs="Times New Roman"/>
          <w:b/>
          <w:vertAlign w:val="superscript"/>
        </w:rPr>
        <w:t>2</w:t>
      </w:r>
      <w:r>
        <w:rPr>
          <w:rFonts w:ascii="Times New Roman" w:eastAsia="Times New Roman" w:hAnsi="Times New Roman" w:cs="Times New Roman"/>
          <w:b/>
        </w:rPr>
        <w:t xml:space="preserve"> (0.5) (0.5)</w:t>
      </w:r>
    </w:p>
    <w:p w14:paraId="6C868698" w14:textId="77777777" w:rsidR="008D546D" w:rsidRDefault="008D546D">
      <w:pPr>
        <w:spacing w:after="200"/>
        <w:jc w:val="center"/>
        <w:rPr>
          <w:rFonts w:ascii="Times New Roman" w:eastAsia="Times New Roman" w:hAnsi="Times New Roman" w:cs="Times New Roman"/>
        </w:rPr>
      </w:pPr>
    </w:p>
    <w:p w14:paraId="72E43616" w14:textId="1E48DE58" w:rsidR="00657D48" w:rsidRDefault="003F3EEB">
      <w:pPr>
        <w:spacing w:after="200"/>
        <w:jc w:val="center"/>
        <w:rPr>
          <w:rFonts w:ascii="Times New Roman" w:eastAsia="Times New Roman" w:hAnsi="Times New Roman" w:cs="Times New Roman"/>
          <w:sz w:val="12"/>
          <w:szCs w:val="12"/>
        </w:rPr>
      </w:pPr>
      <w:r>
        <w:rPr>
          <w:rFonts w:ascii="Times New Roman" w:eastAsia="Times New Roman" w:hAnsi="Times New Roman" w:cs="Times New Roman"/>
        </w:rPr>
        <w:t xml:space="preserve">n = </w:t>
      </w:r>
      <w:r>
        <w:rPr>
          <w:rFonts w:ascii="Times New Roman" w:eastAsia="Times New Roman" w:hAnsi="Times New Roman" w:cs="Times New Roman"/>
          <w:b/>
        </w:rPr>
        <w:t>383</w:t>
      </w:r>
      <w:r>
        <w:rPr>
          <w:rFonts w:ascii="Times New Roman" w:eastAsia="Times New Roman" w:hAnsi="Times New Roman" w:cs="Times New Roman"/>
        </w:rPr>
        <w:t xml:space="preserve"> de personal que labora en el Sector Defensa.</w:t>
      </w:r>
    </w:p>
    <w:p w14:paraId="37FBEC4B" w14:textId="0048B3C8" w:rsidR="00657D48" w:rsidRPr="00AF3701" w:rsidRDefault="003F3EEB" w:rsidP="00AF3701">
      <w:pPr>
        <w:pStyle w:val="Ttulo1"/>
        <w:ind w:firstLine="426"/>
        <w:jc w:val="left"/>
      </w:pPr>
      <w:bookmarkStart w:id="130" w:name="_2jh5peh" w:colFirst="0" w:colLast="0"/>
      <w:bookmarkStart w:id="131" w:name="_Toc117518936"/>
      <w:bookmarkEnd w:id="130"/>
      <w:r w:rsidRPr="00AF3701">
        <w:t>4.6.3 Unidad de estudio</w:t>
      </w:r>
      <w:bookmarkEnd w:id="131"/>
    </w:p>
    <w:p w14:paraId="56A4CE4A" w14:textId="0DC42705" w:rsidR="00657D48" w:rsidRDefault="008D546D">
      <w:pPr>
        <w:spacing w:after="200"/>
        <w:ind w:left="426" w:firstLine="567"/>
        <w:jc w:val="both"/>
        <w:rPr>
          <w:rFonts w:ascii="Times New Roman" w:eastAsia="Times New Roman" w:hAnsi="Times New Roman" w:cs="Times New Roman"/>
        </w:rPr>
      </w:pPr>
      <w:r w:rsidRPr="008D546D">
        <w:rPr>
          <w:rFonts w:ascii="Times New Roman" w:eastAsia="Times New Roman" w:hAnsi="Times New Roman" w:cs="Times New Roman"/>
        </w:rPr>
        <w:t>La unidad de análisis está dada por el personal que labora en el Sector Defensa.</w:t>
      </w:r>
    </w:p>
    <w:p w14:paraId="0B8ACCF2" w14:textId="3790A4B2" w:rsidR="00657D48" w:rsidRPr="00AF3701" w:rsidRDefault="003F3EEB" w:rsidP="00AF3701">
      <w:pPr>
        <w:pStyle w:val="Ttulo1"/>
        <w:jc w:val="left"/>
      </w:pPr>
      <w:bookmarkStart w:id="132" w:name="_ymfzma" w:colFirst="0" w:colLast="0"/>
      <w:bookmarkStart w:id="133" w:name="_Toc117518937"/>
      <w:bookmarkEnd w:id="132"/>
      <w:r w:rsidRPr="00AF3701">
        <w:t>4.7. Fuente de información</w:t>
      </w:r>
      <w:bookmarkEnd w:id="133"/>
    </w:p>
    <w:p w14:paraId="66E50E25" w14:textId="284598DC" w:rsidR="00657D48" w:rsidRDefault="008D546D">
      <w:pPr>
        <w:pBdr>
          <w:top w:val="nil"/>
          <w:left w:val="nil"/>
          <w:bottom w:val="nil"/>
          <w:right w:val="nil"/>
          <w:between w:val="nil"/>
        </w:pBdr>
        <w:spacing w:after="200"/>
        <w:ind w:firstLine="567"/>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Las fuentes de información primarias que fueron necesarios en el desarrollo de la investigación, estuvo constituidas por personal que labora en el Sector Defensa.</w:t>
      </w:r>
    </w:p>
    <w:p w14:paraId="7C5C7E0D" w14:textId="33990F5C" w:rsidR="00657D48" w:rsidRPr="00AF3701" w:rsidRDefault="003F3EEB" w:rsidP="00AF3701">
      <w:pPr>
        <w:pStyle w:val="Ttulo1"/>
        <w:jc w:val="left"/>
      </w:pPr>
      <w:bookmarkStart w:id="134" w:name="_3im3ia3" w:colFirst="0" w:colLast="0"/>
      <w:bookmarkStart w:id="135" w:name="_Toc117518938"/>
      <w:bookmarkEnd w:id="134"/>
      <w:r w:rsidRPr="00AF3701">
        <w:t>4.8. Técnicas e instrumentos de recolección de datos</w:t>
      </w:r>
      <w:bookmarkEnd w:id="135"/>
    </w:p>
    <w:p w14:paraId="035CA60C" w14:textId="35942BBF" w:rsidR="00657D48" w:rsidRPr="00AF3701" w:rsidRDefault="003F3EEB" w:rsidP="00AF3701">
      <w:pPr>
        <w:pStyle w:val="Ttulo1"/>
        <w:ind w:left="426"/>
        <w:jc w:val="left"/>
      </w:pPr>
      <w:bookmarkStart w:id="136" w:name="_1xrdshw" w:colFirst="0" w:colLast="0"/>
      <w:bookmarkStart w:id="137" w:name="_Toc117518939"/>
      <w:bookmarkEnd w:id="136"/>
      <w:r w:rsidRPr="00AF3701">
        <w:t>4.8.1 Técnicas de recolección de datos</w:t>
      </w:r>
      <w:bookmarkEnd w:id="137"/>
    </w:p>
    <w:p w14:paraId="145ACE70" w14:textId="1D74A0C8" w:rsidR="00657D48" w:rsidRDefault="003F3EEB">
      <w:pPr>
        <w:spacing w:after="200"/>
        <w:ind w:left="426"/>
        <w:jc w:val="both"/>
        <w:rPr>
          <w:rFonts w:ascii="Times New Roman" w:eastAsia="Times New Roman" w:hAnsi="Times New Roman" w:cs="Times New Roman"/>
        </w:rPr>
      </w:pPr>
      <w:r>
        <w:rPr>
          <w:rFonts w:ascii="Times New Roman" w:eastAsia="Times New Roman" w:hAnsi="Times New Roman" w:cs="Times New Roman"/>
          <w:b/>
        </w:rPr>
        <w:t xml:space="preserve">Encuesta: </w:t>
      </w:r>
      <w:r w:rsidR="008D546D" w:rsidRPr="008D546D">
        <w:rPr>
          <w:rFonts w:ascii="Times New Roman" w:eastAsia="Times New Roman" w:hAnsi="Times New Roman" w:cs="Times New Roman"/>
        </w:rPr>
        <w:t>Se utilizó la encuesta para darle objetividad a la investigación, en vista que está técnica supone que las informaciones relacionadas a las variables fueron brindadas por los sujetos involucrados (Hernández y Mendoza, 2018).</w:t>
      </w:r>
    </w:p>
    <w:p w14:paraId="7686F279" w14:textId="0CF1EBC6" w:rsidR="00657D48" w:rsidRPr="00AF3701" w:rsidRDefault="003F3EEB" w:rsidP="00AF3701">
      <w:pPr>
        <w:pStyle w:val="Ttulo1"/>
        <w:ind w:firstLine="425"/>
        <w:jc w:val="left"/>
      </w:pPr>
      <w:bookmarkStart w:id="138" w:name="_4hr1b5p" w:colFirst="0" w:colLast="0"/>
      <w:bookmarkStart w:id="139" w:name="_Toc117518940"/>
      <w:bookmarkEnd w:id="138"/>
      <w:r w:rsidRPr="00AF3701">
        <w:t>4.8.2 Instrumentos de recolección de datos</w:t>
      </w:r>
      <w:bookmarkEnd w:id="139"/>
    </w:p>
    <w:p w14:paraId="32110F3C" w14:textId="4E77BA39" w:rsidR="00657D48" w:rsidRDefault="003F3EEB">
      <w:pPr>
        <w:spacing w:after="200"/>
        <w:ind w:left="425" w:firstLine="567"/>
        <w:jc w:val="both"/>
        <w:rPr>
          <w:rFonts w:ascii="Times New Roman" w:eastAsia="Times New Roman" w:hAnsi="Times New Roman" w:cs="Times New Roman"/>
        </w:rPr>
      </w:pPr>
      <w:r>
        <w:rPr>
          <w:rFonts w:ascii="Times New Roman" w:eastAsia="Times New Roman" w:hAnsi="Times New Roman" w:cs="Times New Roman"/>
          <w:b/>
        </w:rPr>
        <w:t>Cuestionario de encuesta:</w:t>
      </w:r>
      <w:r>
        <w:rPr>
          <w:rFonts w:ascii="Times New Roman" w:eastAsia="Times New Roman" w:hAnsi="Times New Roman" w:cs="Times New Roman"/>
        </w:rPr>
        <w:t xml:space="preserve"> </w:t>
      </w:r>
      <w:r w:rsidR="008D546D" w:rsidRPr="008D546D">
        <w:rPr>
          <w:rFonts w:ascii="Times New Roman" w:eastAsia="Times New Roman" w:hAnsi="Times New Roman" w:cs="Times New Roman"/>
        </w:rPr>
        <w:t xml:space="preserve">Es un sistema de preguntas puntuales, formuladas de forma específica, planteada de un modo sencillo y entendible </w:t>
      </w:r>
      <w:r w:rsidR="008D546D" w:rsidRPr="008D546D">
        <w:rPr>
          <w:rFonts w:ascii="Times New Roman" w:eastAsia="Times New Roman" w:hAnsi="Times New Roman" w:cs="Times New Roman"/>
        </w:rPr>
        <w:lastRenderedPageBreak/>
        <w:t>que comúnmente responde de manera anónima la persona que se busca encuestar, sin que necesidad que la persona tenga la necesidad de explicar las interrogantes (Lopez y Fachelli, 2015).</w:t>
      </w:r>
      <w:r>
        <w:rPr>
          <w:noProof/>
        </w:rPr>
        <mc:AlternateContent>
          <mc:Choice Requires="wps">
            <w:drawing>
              <wp:anchor distT="0" distB="0" distL="114300" distR="114300" simplePos="0" relativeHeight="251662336" behindDoc="0" locked="0" layoutInCell="1" hidden="0" allowOverlap="1" wp14:anchorId="3F929C85" wp14:editId="768B7B92">
                <wp:simplePos x="0" y="0"/>
                <wp:positionH relativeFrom="column">
                  <wp:posOffset>1254760</wp:posOffset>
                </wp:positionH>
                <wp:positionV relativeFrom="paragraph">
                  <wp:posOffset>1433195</wp:posOffset>
                </wp:positionV>
                <wp:extent cx="3048000" cy="2674620"/>
                <wp:effectExtent l="0" t="0" r="19050" b="11430"/>
                <wp:wrapNone/>
                <wp:docPr id="8" name="Rectángulo 8"/>
                <wp:cNvGraphicFramePr/>
                <a:graphic xmlns:a="http://schemas.openxmlformats.org/drawingml/2006/main">
                  <a:graphicData uri="http://schemas.microsoft.com/office/word/2010/wordprocessingShape">
                    <wps:wsp>
                      <wps:cNvSpPr/>
                      <wps:spPr>
                        <a:xfrm>
                          <a:off x="0" y="0"/>
                          <a:ext cx="3048000" cy="26746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FA7620" w14:textId="77777777" w:rsidR="002D22AA" w:rsidRPr="002D32E9" w:rsidRDefault="002D22AA" w:rsidP="003F3EEB">
                            <w:pPr>
                              <w:spacing w:after="200"/>
                              <w:ind w:left="992"/>
                              <w:jc w:val="both"/>
                              <w:rPr>
                                <w:rFonts w:ascii="Times New Roman" w:hAnsi="Times New Roman" w:cs="Times New Roman"/>
                                <w:b/>
                                <w:bCs/>
                              </w:rPr>
                            </w:pPr>
                            <w:r w:rsidRPr="002D32E9">
                              <w:rPr>
                                <w:rFonts w:ascii="Times New Roman" w:hAnsi="Times New Roman" w:cs="Times New Roman"/>
                                <w:b/>
                                <w:bCs/>
                              </w:rPr>
                              <w:t>Ficha Técnica del Instrumento</w:t>
                            </w:r>
                          </w:p>
                          <w:p w14:paraId="379267F7"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Nombre del instrumento: Encuesta</w:t>
                            </w:r>
                          </w:p>
                          <w:p w14:paraId="06AB4D5E"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 xml:space="preserve">Autor: Miguel </w:t>
                            </w:r>
                            <w:r>
                              <w:rPr>
                                <w:rFonts w:ascii="Times New Roman" w:hAnsi="Times New Roman" w:cs="Times New Roman"/>
                              </w:rPr>
                              <w:t xml:space="preserve">Antonio </w:t>
                            </w:r>
                            <w:r w:rsidRPr="00361750">
                              <w:rPr>
                                <w:rFonts w:ascii="Times New Roman" w:hAnsi="Times New Roman" w:cs="Times New Roman"/>
                              </w:rPr>
                              <w:t xml:space="preserve">Gonzales Lara </w:t>
                            </w:r>
                          </w:p>
                          <w:p w14:paraId="74C3D26E"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Administración: Individual</w:t>
                            </w:r>
                          </w:p>
                          <w:p w14:paraId="176CCA83"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 xml:space="preserve">Tiempo de aplicación 20 minutos. </w:t>
                            </w:r>
                          </w:p>
                          <w:p w14:paraId="43A1C381" w14:textId="77777777" w:rsidR="002D22AA" w:rsidRDefault="002D22AA" w:rsidP="003F3EEB">
                            <w:pPr>
                              <w:spacing w:after="200"/>
                              <w:ind w:left="992" w:hanging="992"/>
                              <w:rPr>
                                <w:rFonts w:ascii="Times New Roman" w:hAnsi="Times New Roman" w:cs="Times New Roman"/>
                              </w:rPr>
                            </w:pPr>
                            <w:r w:rsidRPr="00361750">
                              <w:rPr>
                                <w:rFonts w:ascii="Times New Roman" w:hAnsi="Times New Roman" w:cs="Times New Roman"/>
                              </w:rPr>
                              <w:t>Número de elementos: 383</w:t>
                            </w:r>
                          </w:p>
                          <w:p w14:paraId="2FD60361" w14:textId="77777777" w:rsidR="002D22AA" w:rsidRPr="002D32E9" w:rsidRDefault="002D22AA" w:rsidP="003F3EEB">
                            <w:pPr>
                              <w:spacing w:after="200"/>
                              <w:ind w:left="992" w:hanging="992"/>
                              <w:rPr>
                                <w:rFonts w:ascii="Times New Roman" w:hAnsi="Times New Roman" w:cs="Times New Roman"/>
                              </w:rPr>
                            </w:pPr>
                            <w:r w:rsidRPr="002D32E9">
                              <w:rPr>
                                <w:rFonts w:ascii="Times New Roman" w:hAnsi="Times New Roman" w:cs="Times New Roman"/>
                              </w:rPr>
                              <w:t>Ítems con escala de Likert</w:t>
                            </w:r>
                          </w:p>
                          <w:p w14:paraId="404C8012" w14:textId="77777777" w:rsidR="002D22AA" w:rsidRDefault="002D22AA" w:rsidP="003F3E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929C85" id="Rectángulo 8" o:spid="_x0000_s1027" style="position:absolute;left:0;text-align:left;margin-left:98.8pt;margin-top:112.85pt;width:240pt;height:210.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" fillcolor="white [3201]" strokecolor="black [3213]" strokeweight="2pt">
                <v:textbox>
                  <w:txbxContent>
                    <w:p w14:paraId="24FA7620" w14:textId="77777777" w:rsidR="002D22AA" w:rsidRPr="002D32E9" w:rsidRDefault="002D22AA" w:rsidP="003F3EEB">
                      <w:pPr>
                        <w:spacing w:after="200"/>
                        <w:ind w:left="992"/>
                        <w:jc w:val="both"/>
                        <w:rPr>
                          <w:rFonts w:ascii="Times New Roman" w:hAnsi="Times New Roman" w:cs="Times New Roman"/>
                          <w:b/>
                          <w:bCs/>
                        </w:rPr>
                      </w:pPr>
                      <w:r w:rsidRPr="002D32E9">
                        <w:rPr>
                          <w:rFonts w:ascii="Times New Roman" w:hAnsi="Times New Roman" w:cs="Times New Roman"/>
                          <w:b/>
                          <w:bCs/>
                        </w:rPr>
                        <w:t>Ficha Técnica del Instrumento</w:t>
                      </w:r>
                    </w:p>
                    <w:p w14:paraId="379267F7"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Nombre del instrumento: Encuesta</w:t>
                      </w:r>
                    </w:p>
                    <w:p w14:paraId="06AB4D5E"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 xml:space="preserve">Autor: Miguel </w:t>
                      </w:r>
                      <w:r>
                        <w:rPr>
                          <w:rFonts w:ascii="Times New Roman" w:hAnsi="Times New Roman" w:cs="Times New Roman"/>
                        </w:rPr>
                        <w:t xml:space="preserve">Antonio </w:t>
                      </w:r>
                      <w:r w:rsidRPr="00361750">
                        <w:rPr>
                          <w:rFonts w:ascii="Times New Roman" w:hAnsi="Times New Roman" w:cs="Times New Roman"/>
                        </w:rPr>
                        <w:t xml:space="preserve">Gonzales Lara </w:t>
                      </w:r>
                    </w:p>
                    <w:p w14:paraId="74C3D26E"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Administración: Individual</w:t>
                      </w:r>
                    </w:p>
                    <w:p w14:paraId="176CCA83" w14:textId="77777777" w:rsidR="002D22AA" w:rsidRPr="00361750" w:rsidRDefault="002D22AA" w:rsidP="003F3EEB">
                      <w:pPr>
                        <w:spacing w:after="200"/>
                        <w:ind w:left="992" w:hanging="992"/>
                        <w:rPr>
                          <w:rFonts w:ascii="Times New Roman" w:hAnsi="Times New Roman" w:cs="Times New Roman"/>
                        </w:rPr>
                      </w:pPr>
                      <w:r w:rsidRPr="00361750">
                        <w:rPr>
                          <w:rFonts w:ascii="Times New Roman" w:hAnsi="Times New Roman" w:cs="Times New Roman"/>
                        </w:rPr>
                        <w:t xml:space="preserve">Tiempo de aplicación 20 minutos. </w:t>
                      </w:r>
                    </w:p>
                    <w:p w14:paraId="43A1C381" w14:textId="77777777" w:rsidR="002D22AA" w:rsidRDefault="002D22AA" w:rsidP="003F3EEB">
                      <w:pPr>
                        <w:spacing w:after="200"/>
                        <w:ind w:left="992" w:hanging="992"/>
                        <w:rPr>
                          <w:rFonts w:ascii="Times New Roman" w:hAnsi="Times New Roman" w:cs="Times New Roman"/>
                        </w:rPr>
                      </w:pPr>
                      <w:r w:rsidRPr="00361750">
                        <w:rPr>
                          <w:rFonts w:ascii="Times New Roman" w:hAnsi="Times New Roman" w:cs="Times New Roman"/>
                        </w:rPr>
                        <w:t>Número de elementos: 383</w:t>
                      </w:r>
                    </w:p>
                    <w:p w14:paraId="2FD60361" w14:textId="77777777" w:rsidR="002D22AA" w:rsidRPr="002D32E9" w:rsidRDefault="002D22AA" w:rsidP="003F3EEB">
                      <w:pPr>
                        <w:spacing w:after="200"/>
                        <w:ind w:left="992" w:hanging="992"/>
                        <w:rPr>
                          <w:rFonts w:ascii="Times New Roman" w:hAnsi="Times New Roman" w:cs="Times New Roman"/>
                        </w:rPr>
                      </w:pPr>
                      <w:r w:rsidRPr="002D32E9">
                        <w:rPr>
                          <w:rFonts w:ascii="Times New Roman" w:hAnsi="Times New Roman" w:cs="Times New Roman"/>
                        </w:rPr>
                        <w:t>Ítems con escala de Likert</w:t>
                      </w:r>
                    </w:p>
                    <w:p w14:paraId="404C8012" w14:textId="77777777" w:rsidR="002D22AA" w:rsidRDefault="002D22AA" w:rsidP="003F3EEB">
                      <w:pPr>
                        <w:jc w:val="center"/>
                      </w:pPr>
                    </w:p>
                  </w:txbxContent>
                </v:textbox>
              </v:rect>
            </w:pict>
          </mc:Fallback>
        </mc:AlternateContent>
      </w:r>
    </w:p>
    <w:p w14:paraId="440F5395" w14:textId="622FF186" w:rsidR="00657D48" w:rsidRDefault="00657D48">
      <w:pPr>
        <w:pBdr>
          <w:top w:val="nil"/>
          <w:left w:val="nil"/>
          <w:bottom w:val="nil"/>
          <w:right w:val="nil"/>
          <w:between w:val="nil"/>
        </w:pBdr>
        <w:spacing w:after="200"/>
        <w:ind w:left="992"/>
        <w:jc w:val="both"/>
        <w:rPr>
          <w:rFonts w:ascii="Times New Roman" w:eastAsia="Times New Roman" w:hAnsi="Times New Roman" w:cs="Times New Roman"/>
          <w:color w:val="000000"/>
        </w:rPr>
      </w:pPr>
    </w:p>
    <w:p w14:paraId="1B0658B8" w14:textId="77777777" w:rsidR="00657D48" w:rsidRDefault="00657D48">
      <w:pPr>
        <w:spacing w:after="0" w:line="480" w:lineRule="auto"/>
        <w:jc w:val="both"/>
        <w:rPr>
          <w:rFonts w:ascii="Times New Roman" w:eastAsia="Times New Roman" w:hAnsi="Times New Roman" w:cs="Times New Roman"/>
          <w:b/>
        </w:rPr>
      </w:pPr>
    </w:p>
    <w:p w14:paraId="5D86394C" w14:textId="77777777" w:rsidR="00657D48" w:rsidRDefault="00657D48">
      <w:pPr>
        <w:spacing w:after="0" w:line="480" w:lineRule="auto"/>
        <w:jc w:val="both"/>
        <w:rPr>
          <w:rFonts w:ascii="Times New Roman" w:eastAsia="Times New Roman" w:hAnsi="Times New Roman" w:cs="Times New Roman"/>
          <w:b/>
        </w:rPr>
      </w:pPr>
    </w:p>
    <w:p w14:paraId="01510A21" w14:textId="77777777" w:rsidR="00657D48" w:rsidRDefault="00657D48">
      <w:pPr>
        <w:spacing w:after="0" w:line="480" w:lineRule="auto"/>
        <w:jc w:val="both"/>
        <w:rPr>
          <w:rFonts w:ascii="Times New Roman" w:eastAsia="Times New Roman" w:hAnsi="Times New Roman" w:cs="Times New Roman"/>
          <w:b/>
        </w:rPr>
        <w:sectPr w:rsidR="00657D48" w:rsidSect="00A71C10">
          <w:pgSz w:w="11906" w:h="16838"/>
          <w:pgMar w:top="1701" w:right="1701" w:bottom="1701" w:left="2268" w:header="709" w:footer="709" w:gutter="0"/>
          <w:cols w:space="720"/>
        </w:sectPr>
      </w:pPr>
    </w:p>
    <w:p w14:paraId="6E60896C" w14:textId="2CB384C8" w:rsidR="000401B3" w:rsidRPr="00AF3701" w:rsidRDefault="000401B3" w:rsidP="000401B3">
      <w:pPr>
        <w:pStyle w:val="Descripcin"/>
        <w:rPr>
          <w:rFonts w:ascii="Times New Roman" w:eastAsia="Times New Roman" w:hAnsi="Times New Roman" w:cs="Times New Roman"/>
          <w:b/>
          <w:i w:val="0"/>
          <w:color w:val="auto"/>
          <w:sz w:val="24"/>
        </w:rPr>
      </w:pPr>
      <w:bookmarkStart w:id="140" w:name="_39kk8xu" w:colFirst="0" w:colLast="0"/>
      <w:bookmarkStart w:id="141" w:name="_Toc116591660"/>
      <w:bookmarkEnd w:id="140"/>
      <w:r w:rsidRPr="00AF3701">
        <w:rPr>
          <w:rFonts w:ascii="Times New Roman" w:hAnsi="Times New Roman" w:cs="Times New Roman"/>
          <w:b/>
          <w:i w:val="0"/>
          <w:color w:val="auto"/>
          <w:sz w:val="24"/>
        </w:rPr>
        <w:lastRenderedPageBreak/>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3</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41"/>
    </w:p>
    <w:p w14:paraId="6319859E" w14:textId="77777777" w:rsidR="00657D48" w:rsidRDefault="003F3EEB">
      <w:pPr>
        <w:spacing w:after="0" w:line="240" w:lineRule="auto"/>
        <w:jc w:val="both"/>
        <w:rPr>
          <w:rFonts w:ascii="Times New Roman" w:eastAsia="Times New Roman" w:hAnsi="Times New Roman" w:cs="Times New Roman"/>
          <w:i/>
        </w:rPr>
      </w:pPr>
      <w:r>
        <w:rPr>
          <w:rFonts w:ascii="Times New Roman" w:eastAsia="Times New Roman" w:hAnsi="Times New Roman" w:cs="Times New Roman"/>
          <w:i/>
        </w:rPr>
        <w:t xml:space="preserve">Indicadores a evaluar </w:t>
      </w:r>
    </w:p>
    <w:tbl>
      <w:tblPr>
        <w:tblStyle w:val="a1"/>
        <w:tblW w:w="13431" w:type="dxa"/>
        <w:tblInd w:w="-5" w:type="dxa"/>
        <w:tblLayout w:type="fixed"/>
        <w:tblLook w:val="0400" w:firstRow="0" w:lastRow="0" w:firstColumn="0" w:lastColumn="0" w:noHBand="0" w:noVBand="1"/>
      </w:tblPr>
      <w:tblGrid>
        <w:gridCol w:w="1414"/>
        <w:gridCol w:w="1696"/>
        <w:gridCol w:w="1837"/>
        <w:gridCol w:w="8484"/>
      </w:tblGrid>
      <w:tr w:rsidR="00657D48" w14:paraId="7409FC94" w14:textId="77777777">
        <w:trPr>
          <w:trHeight w:val="131"/>
        </w:trPr>
        <w:tc>
          <w:tcPr>
            <w:tcW w:w="1414" w:type="dxa"/>
            <w:tcBorders>
              <w:top w:val="single" w:sz="8" w:space="0" w:color="000000"/>
              <w:left w:val="single" w:sz="4" w:space="0" w:color="000000"/>
              <w:bottom w:val="single" w:sz="4" w:space="0" w:color="000000"/>
              <w:right w:val="single" w:sz="4" w:space="0" w:color="000000"/>
            </w:tcBorders>
            <w:shd w:val="clear" w:color="auto" w:fill="auto"/>
            <w:vAlign w:val="center"/>
          </w:tcPr>
          <w:p w14:paraId="6527DB6C"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VARIABLES</w:t>
            </w:r>
          </w:p>
        </w:tc>
        <w:tc>
          <w:tcPr>
            <w:tcW w:w="1696" w:type="dxa"/>
            <w:tcBorders>
              <w:top w:val="single" w:sz="8" w:space="0" w:color="000000"/>
              <w:left w:val="nil"/>
              <w:bottom w:val="single" w:sz="4" w:space="0" w:color="000000"/>
              <w:right w:val="single" w:sz="8" w:space="0" w:color="000000"/>
            </w:tcBorders>
            <w:shd w:val="clear" w:color="auto" w:fill="auto"/>
            <w:vAlign w:val="center"/>
          </w:tcPr>
          <w:p w14:paraId="4519984C"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DIMENSIONES</w:t>
            </w:r>
          </w:p>
        </w:tc>
        <w:tc>
          <w:tcPr>
            <w:tcW w:w="1837" w:type="dxa"/>
            <w:tcBorders>
              <w:top w:val="single" w:sz="8" w:space="0" w:color="000000"/>
              <w:left w:val="nil"/>
              <w:bottom w:val="single" w:sz="4" w:space="0" w:color="000000"/>
              <w:right w:val="single" w:sz="8" w:space="0" w:color="000000"/>
            </w:tcBorders>
            <w:vAlign w:val="center"/>
          </w:tcPr>
          <w:p w14:paraId="01F48231"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INDICADORES</w:t>
            </w:r>
          </w:p>
        </w:tc>
        <w:tc>
          <w:tcPr>
            <w:tcW w:w="8484" w:type="dxa"/>
            <w:tcBorders>
              <w:top w:val="single" w:sz="8" w:space="0" w:color="000000"/>
              <w:left w:val="nil"/>
              <w:bottom w:val="single" w:sz="4" w:space="0" w:color="000000"/>
              <w:right w:val="single" w:sz="8" w:space="0" w:color="000000"/>
            </w:tcBorders>
            <w:vAlign w:val="center"/>
          </w:tcPr>
          <w:p w14:paraId="1C333877"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PREGUNTAS</w:t>
            </w:r>
          </w:p>
        </w:tc>
      </w:tr>
      <w:tr w:rsidR="00657D48" w14:paraId="6653B840" w14:textId="77777777">
        <w:trPr>
          <w:trHeight w:val="595"/>
        </w:trPr>
        <w:tc>
          <w:tcPr>
            <w:tcW w:w="1414" w:type="dxa"/>
            <w:vMerge w:val="restart"/>
            <w:tcBorders>
              <w:top w:val="nil"/>
              <w:left w:val="single" w:sz="4" w:space="0" w:color="000000"/>
              <w:right w:val="single" w:sz="4" w:space="0" w:color="000000"/>
            </w:tcBorders>
            <w:shd w:val="clear" w:color="auto" w:fill="auto"/>
            <w:vAlign w:val="center"/>
          </w:tcPr>
          <w:p w14:paraId="3E2BB852"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V1.   Gestión del Riesgo de Desastres</w:t>
            </w:r>
          </w:p>
        </w:tc>
        <w:tc>
          <w:tcPr>
            <w:tcW w:w="1696" w:type="dxa"/>
            <w:vMerge w:val="restart"/>
            <w:tcBorders>
              <w:top w:val="single" w:sz="4" w:space="0" w:color="000000"/>
              <w:left w:val="nil"/>
              <w:right w:val="single" w:sz="8" w:space="0" w:color="000000"/>
            </w:tcBorders>
            <w:shd w:val="clear" w:color="auto" w:fill="auto"/>
            <w:vAlign w:val="center"/>
          </w:tcPr>
          <w:p w14:paraId="2E4AF3B0"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Reducción del Riesgo</w:t>
            </w:r>
          </w:p>
        </w:tc>
        <w:tc>
          <w:tcPr>
            <w:tcW w:w="1837" w:type="dxa"/>
            <w:vMerge w:val="restart"/>
            <w:tcBorders>
              <w:top w:val="single" w:sz="4" w:space="0" w:color="000000"/>
              <w:left w:val="nil"/>
              <w:right w:val="single" w:sz="8" w:space="0" w:color="000000"/>
            </w:tcBorders>
            <w:vAlign w:val="center"/>
          </w:tcPr>
          <w:p w14:paraId="0C736EDF"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Normatividad, lineamientos y herramientas</w:t>
            </w:r>
          </w:p>
        </w:tc>
        <w:tc>
          <w:tcPr>
            <w:tcW w:w="8484" w:type="dxa"/>
            <w:tcBorders>
              <w:top w:val="single" w:sz="4" w:space="0" w:color="000000"/>
              <w:left w:val="nil"/>
              <w:bottom w:val="single" w:sz="4" w:space="0" w:color="000000"/>
              <w:right w:val="single" w:sz="8" w:space="0" w:color="000000"/>
            </w:tcBorders>
            <w:vAlign w:val="center"/>
          </w:tcPr>
          <w:p w14:paraId="437122E0"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las normas y lineamientos  para reducir el riesgo existente en el Sector son apropiados?</w:t>
            </w:r>
          </w:p>
        </w:tc>
      </w:tr>
      <w:tr w:rsidR="00657D48" w14:paraId="3304B61C" w14:textId="77777777">
        <w:trPr>
          <w:trHeight w:val="511"/>
        </w:trPr>
        <w:tc>
          <w:tcPr>
            <w:tcW w:w="1414" w:type="dxa"/>
            <w:vMerge/>
            <w:tcBorders>
              <w:top w:val="nil"/>
              <w:left w:val="single" w:sz="4" w:space="0" w:color="000000"/>
              <w:right w:val="single" w:sz="4" w:space="0" w:color="000000"/>
            </w:tcBorders>
            <w:shd w:val="clear" w:color="auto" w:fill="auto"/>
            <w:vAlign w:val="center"/>
          </w:tcPr>
          <w:p w14:paraId="34D05707"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37A770F9"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2DA5DA99"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4EBFE6C3"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las herramientas técnicas existentes son adecuadas para reducir el riesgo en el Sector?</w:t>
            </w:r>
          </w:p>
        </w:tc>
      </w:tr>
      <w:tr w:rsidR="00657D48" w14:paraId="45273D55" w14:textId="77777777">
        <w:trPr>
          <w:trHeight w:val="698"/>
        </w:trPr>
        <w:tc>
          <w:tcPr>
            <w:tcW w:w="1414" w:type="dxa"/>
            <w:vMerge/>
            <w:tcBorders>
              <w:top w:val="nil"/>
              <w:left w:val="single" w:sz="4" w:space="0" w:color="000000"/>
              <w:right w:val="single" w:sz="4" w:space="0" w:color="000000"/>
            </w:tcBorders>
            <w:shd w:val="clear" w:color="auto" w:fill="auto"/>
            <w:vAlign w:val="center"/>
          </w:tcPr>
          <w:p w14:paraId="56CB1FE5"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49937838"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nil"/>
              <w:right w:val="single" w:sz="8" w:space="0" w:color="000000"/>
            </w:tcBorders>
            <w:vAlign w:val="center"/>
          </w:tcPr>
          <w:p w14:paraId="3977E8FE"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Diagnóstico y</w:t>
            </w:r>
            <w:r>
              <w:rPr>
                <w:rFonts w:ascii="Times New Roman" w:eastAsia="Times New Roman" w:hAnsi="Times New Roman" w:cs="Times New Roman"/>
                <w:strike/>
                <w:sz w:val="20"/>
                <w:szCs w:val="20"/>
              </w:rPr>
              <w:t xml:space="preserve"> </w:t>
            </w:r>
            <w:r>
              <w:rPr>
                <w:rFonts w:ascii="Times New Roman" w:eastAsia="Times New Roman" w:hAnsi="Times New Roman" w:cs="Times New Roman"/>
                <w:sz w:val="20"/>
                <w:szCs w:val="20"/>
              </w:rPr>
              <w:t>acciones implementadas</w:t>
            </w:r>
          </w:p>
        </w:tc>
        <w:tc>
          <w:tcPr>
            <w:tcW w:w="8484" w:type="dxa"/>
            <w:tcBorders>
              <w:top w:val="single" w:sz="4" w:space="0" w:color="000000"/>
              <w:left w:val="nil"/>
              <w:bottom w:val="single" w:sz="4" w:space="0" w:color="000000"/>
              <w:right w:val="single" w:sz="8" w:space="0" w:color="000000"/>
            </w:tcBorders>
            <w:vAlign w:val="center"/>
          </w:tcPr>
          <w:p w14:paraId="48321A49"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se ha analizado la situación de los elementos expuestos en las áreas donde se ha establecido niveles de riesgo en el Sector?</w:t>
            </w:r>
          </w:p>
        </w:tc>
      </w:tr>
      <w:tr w:rsidR="00657D48" w14:paraId="42BBCBF6" w14:textId="77777777">
        <w:trPr>
          <w:trHeight w:val="309"/>
        </w:trPr>
        <w:tc>
          <w:tcPr>
            <w:tcW w:w="1414" w:type="dxa"/>
            <w:vMerge/>
            <w:tcBorders>
              <w:top w:val="nil"/>
              <w:left w:val="single" w:sz="4" w:space="0" w:color="000000"/>
              <w:right w:val="single" w:sz="4" w:space="0" w:color="000000"/>
            </w:tcBorders>
            <w:shd w:val="clear" w:color="auto" w:fill="auto"/>
            <w:vAlign w:val="center"/>
          </w:tcPr>
          <w:p w14:paraId="0D68C56A"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076A3DB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11CD5C09"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0E50899C"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se ha implementado adecuadamente las acciones de reducción de vulnerabilidad existentes en el Sector?</w:t>
            </w:r>
          </w:p>
        </w:tc>
      </w:tr>
      <w:tr w:rsidR="00657D48" w14:paraId="1041E5A7" w14:textId="77777777">
        <w:trPr>
          <w:trHeight w:val="798"/>
        </w:trPr>
        <w:tc>
          <w:tcPr>
            <w:tcW w:w="1414" w:type="dxa"/>
            <w:vMerge/>
            <w:tcBorders>
              <w:top w:val="nil"/>
              <w:left w:val="single" w:sz="4" w:space="0" w:color="000000"/>
              <w:right w:val="single" w:sz="4" w:space="0" w:color="000000"/>
            </w:tcBorders>
            <w:shd w:val="clear" w:color="auto" w:fill="auto"/>
            <w:vAlign w:val="center"/>
          </w:tcPr>
          <w:p w14:paraId="398C6F3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5B944CF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tcBorders>
              <w:top w:val="single" w:sz="4" w:space="0" w:color="000000"/>
              <w:left w:val="nil"/>
              <w:bottom w:val="single" w:sz="4" w:space="0" w:color="000000"/>
              <w:right w:val="single" w:sz="8" w:space="0" w:color="000000"/>
            </w:tcBorders>
            <w:vAlign w:val="center"/>
          </w:tcPr>
          <w:p w14:paraId="635905A7"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Monitoreo y Seguimiento</w:t>
            </w:r>
          </w:p>
        </w:tc>
        <w:tc>
          <w:tcPr>
            <w:tcW w:w="8484" w:type="dxa"/>
            <w:tcBorders>
              <w:top w:val="single" w:sz="4" w:space="0" w:color="000000"/>
              <w:left w:val="nil"/>
              <w:bottom w:val="single" w:sz="4" w:space="0" w:color="000000"/>
              <w:right w:val="single" w:sz="8" w:space="0" w:color="000000"/>
            </w:tcBorders>
            <w:vAlign w:val="center"/>
          </w:tcPr>
          <w:p w14:paraId="693ACFC7"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el monitoreo y seguimiento para el logro de los objetivos en materia de reducción del riesgo de desastres es el adecuado en el Sector?</w:t>
            </w:r>
          </w:p>
        </w:tc>
      </w:tr>
      <w:tr w:rsidR="00657D48" w14:paraId="30113C58" w14:textId="77777777">
        <w:trPr>
          <w:trHeight w:val="981"/>
        </w:trPr>
        <w:tc>
          <w:tcPr>
            <w:tcW w:w="1414" w:type="dxa"/>
            <w:vMerge/>
            <w:tcBorders>
              <w:top w:val="nil"/>
              <w:left w:val="single" w:sz="4" w:space="0" w:color="000000"/>
              <w:right w:val="single" w:sz="4" w:space="0" w:color="000000"/>
            </w:tcBorders>
            <w:shd w:val="clear" w:color="auto" w:fill="auto"/>
            <w:vAlign w:val="center"/>
          </w:tcPr>
          <w:p w14:paraId="4B1401C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tcBorders>
              <w:left w:val="nil"/>
              <w:bottom w:val="single" w:sz="4" w:space="0" w:color="000000"/>
              <w:right w:val="single" w:sz="8" w:space="0" w:color="000000"/>
            </w:tcBorders>
            <w:shd w:val="clear" w:color="auto" w:fill="auto"/>
            <w:vAlign w:val="center"/>
          </w:tcPr>
          <w:p w14:paraId="5994D50E" w14:textId="77777777" w:rsidR="00657D48" w:rsidRDefault="00657D48">
            <w:pPr>
              <w:spacing w:after="0" w:line="240" w:lineRule="auto"/>
              <w:jc w:val="center"/>
              <w:rPr>
                <w:rFonts w:ascii="Times New Roman" w:eastAsia="Times New Roman" w:hAnsi="Times New Roman" w:cs="Times New Roman"/>
                <w:sz w:val="20"/>
                <w:szCs w:val="20"/>
              </w:rPr>
            </w:pPr>
          </w:p>
        </w:tc>
        <w:tc>
          <w:tcPr>
            <w:tcW w:w="1837" w:type="dxa"/>
            <w:tcBorders>
              <w:top w:val="single" w:sz="4" w:space="0" w:color="000000"/>
              <w:left w:val="nil"/>
              <w:bottom w:val="single" w:sz="4" w:space="0" w:color="000000"/>
              <w:right w:val="single" w:sz="8" w:space="0" w:color="000000"/>
            </w:tcBorders>
            <w:vAlign w:val="center"/>
          </w:tcPr>
          <w:p w14:paraId="3DBE68E8"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Herramientas implementadas </w:t>
            </w:r>
          </w:p>
        </w:tc>
        <w:tc>
          <w:tcPr>
            <w:tcW w:w="8484" w:type="dxa"/>
            <w:tcBorders>
              <w:top w:val="single" w:sz="4" w:space="0" w:color="000000"/>
              <w:left w:val="nil"/>
              <w:bottom w:val="single" w:sz="4" w:space="0" w:color="000000"/>
              <w:right w:val="single" w:sz="8" w:space="0" w:color="000000"/>
            </w:tcBorders>
            <w:vAlign w:val="center"/>
          </w:tcPr>
          <w:p w14:paraId="4CCB588F"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se debería implementar herramientas y/o mecanismos adecuadas para  evaluar y retroalimentar el proceso de reducción del riesgo de desastres en el Sector?</w:t>
            </w:r>
          </w:p>
        </w:tc>
      </w:tr>
      <w:tr w:rsidR="00657D48" w14:paraId="2B185551" w14:textId="77777777">
        <w:trPr>
          <w:trHeight w:val="994"/>
        </w:trPr>
        <w:tc>
          <w:tcPr>
            <w:tcW w:w="1414" w:type="dxa"/>
            <w:vMerge/>
            <w:tcBorders>
              <w:top w:val="nil"/>
              <w:left w:val="single" w:sz="4" w:space="0" w:color="000000"/>
              <w:right w:val="single" w:sz="4" w:space="0" w:color="000000"/>
            </w:tcBorders>
            <w:shd w:val="clear" w:color="auto" w:fill="auto"/>
            <w:vAlign w:val="center"/>
          </w:tcPr>
          <w:p w14:paraId="2044C002"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val="restart"/>
            <w:tcBorders>
              <w:top w:val="single" w:sz="4" w:space="0" w:color="000000"/>
              <w:left w:val="nil"/>
              <w:right w:val="single" w:sz="8" w:space="0" w:color="000000"/>
            </w:tcBorders>
            <w:shd w:val="clear" w:color="auto" w:fill="auto"/>
            <w:vAlign w:val="center"/>
          </w:tcPr>
          <w:p w14:paraId="0886BD82"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Preparación</w:t>
            </w:r>
          </w:p>
        </w:tc>
        <w:tc>
          <w:tcPr>
            <w:tcW w:w="1837" w:type="dxa"/>
            <w:vMerge w:val="restart"/>
            <w:tcBorders>
              <w:top w:val="single" w:sz="4" w:space="0" w:color="000000"/>
              <w:left w:val="nil"/>
              <w:right w:val="single" w:sz="8" w:space="0" w:color="000000"/>
            </w:tcBorders>
            <w:vAlign w:val="center"/>
          </w:tcPr>
          <w:p w14:paraId="3420E138"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Planeamiento</w:t>
            </w:r>
          </w:p>
        </w:tc>
        <w:tc>
          <w:tcPr>
            <w:tcW w:w="8484" w:type="dxa"/>
            <w:tcBorders>
              <w:top w:val="single" w:sz="4" w:space="0" w:color="000000"/>
              <w:left w:val="nil"/>
              <w:bottom w:val="single" w:sz="4" w:space="0" w:color="000000"/>
              <w:right w:val="single" w:sz="8" w:space="0" w:color="000000"/>
            </w:tcBorders>
            <w:vAlign w:val="center"/>
          </w:tcPr>
          <w:p w14:paraId="6C6CF5A3"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el plan de preparación del sector está alineado con la RM N° 050-2020-PCM que responde a los Lineamientos para la implementación del proceso de preparación y formulación de los Planes de Preparación en los tres niveles de gobierno?</w:t>
            </w:r>
          </w:p>
        </w:tc>
      </w:tr>
      <w:tr w:rsidR="00657D48" w14:paraId="2DF93468"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5F8DDBD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6038AC8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793F07C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0219AC72"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plan de preparación es la herramienta más adecuada para fortalecer las capacidades del Sector Defensa para anticiparse y responder de forma eficiente y eficaz en caso de desastres o situación de peligro inminente en atención a la población y a sus medios de vida en el marco de las competencias del Sector?</w:t>
            </w:r>
          </w:p>
        </w:tc>
      </w:tr>
      <w:tr w:rsidR="00657D48" w14:paraId="6F52DAEA" w14:textId="77777777">
        <w:trPr>
          <w:trHeight w:val="942"/>
        </w:trPr>
        <w:tc>
          <w:tcPr>
            <w:tcW w:w="1414" w:type="dxa"/>
            <w:vMerge/>
            <w:tcBorders>
              <w:top w:val="nil"/>
              <w:left w:val="single" w:sz="4" w:space="0" w:color="000000"/>
              <w:right w:val="single" w:sz="4" w:space="0" w:color="000000"/>
            </w:tcBorders>
            <w:shd w:val="clear" w:color="auto" w:fill="auto"/>
            <w:vAlign w:val="center"/>
          </w:tcPr>
          <w:p w14:paraId="4C5C4CF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0C010EF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nil"/>
              <w:right w:val="single" w:sz="8" w:space="0" w:color="000000"/>
            </w:tcBorders>
            <w:vAlign w:val="center"/>
          </w:tcPr>
          <w:p w14:paraId="1FA73FBE"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Desarrollo de capacidades para la respuesta</w:t>
            </w:r>
          </w:p>
        </w:tc>
        <w:tc>
          <w:tcPr>
            <w:tcW w:w="8484" w:type="dxa"/>
            <w:tcBorders>
              <w:top w:val="single" w:sz="4" w:space="0" w:color="000000"/>
              <w:left w:val="nil"/>
              <w:bottom w:val="single" w:sz="4" w:space="0" w:color="000000"/>
              <w:right w:val="single" w:sz="8" w:space="0" w:color="000000"/>
            </w:tcBorders>
            <w:vAlign w:val="center"/>
          </w:tcPr>
          <w:p w14:paraId="6E453017"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el desarrollo y fortalecimiento de las capacidades humanas organizacionales, capacidades técnicas y de investigación (Por ejemplo: CONIDA, DHN, IGN, etc.)  son las más adecuadas en el Sector?</w:t>
            </w:r>
          </w:p>
        </w:tc>
      </w:tr>
      <w:tr w:rsidR="00657D48" w14:paraId="48D93682" w14:textId="77777777">
        <w:trPr>
          <w:trHeight w:val="855"/>
        </w:trPr>
        <w:tc>
          <w:tcPr>
            <w:tcW w:w="1414" w:type="dxa"/>
            <w:vMerge/>
            <w:tcBorders>
              <w:top w:val="nil"/>
              <w:left w:val="single" w:sz="4" w:space="0" w:color="000000"/>
              <w:right w:val="single" w:sz="4" w:space="0" w:color="000000"/>
            </w:tcBorders>
            <w:shd w:val="clear" w:color="auto" w:fill="auto"/>
            <w:vAlign w:val="center"/>
          </w:tcPr>
          <w:p w14:paraId="58A526E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52D1B14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5189B579"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2B03B8E7"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equipamiento para una respuesta eficiente y eficaz en situación de emergencia o desastre es el más apropiado en el Sector?</w:t>
            </w:r>
          </w:p>
        </w:tc>
      </w:tr>
      <w:tr w:rsidR="00657D48" w14:paraId="0E5B3024"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500CE2B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1963010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062BC61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5859F6BA"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equipamiento para una respuesta eficiente y eficaz debe de ser concordante a la región del país en la que se produce la emergencia o desastre?</w:t>
            </w:r>
          </w:p>
        </w:tc>
      </w:tr>
      <w:tr w:rsidR="00657D48" w14:paraId="7311FC56"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5B527E2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06BDF33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nil"/>
              <w:right w:val="single" w:sz="8" w:space="0" w:color="000000"/>
            </w:tcBorders>
            <w:vAlign w:val="center"/>
          </w:tcPr>
          <w:p w14:paraId="40291B90"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Gestión de recursos para la respuesta</w:t>
            </w:r>
          </w:p>
        </w:tc>
        <w:tc>
          <w:tcPr>
            <w:tcW w:w="8484" w:type="dxa"/>
            <w:tcBorders>
              <w:top w:val="single" w:sz="4" w:space="0" w:color="000000"/>
              <w:left w:val="nil"/>
              <w:bottom w:val="single" w:sz="4" w:space="0" w:color="000000"/>
              <w:right w:val="single" w:sz="8" w:space="0" w:color="000000"/>
            </w:tcBorders>
            <w:vAlign w:val="center"/>
          </w:tcPr>
          <w:p w14:paraId="04134A31"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 gestión de recursos debe ser fortalecida en el Sector a través del Programa presupuestal 0068?</w:t>
            </w:r>
          </w:p>
        </w:tc>
      </w:tr>
      <w:tr w:rsidR="00657D48" w14:paraId="38135BE0"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140A5479"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nil"/>
              <w:right w:val="single" w:sz="8" w:space="0" w:color="000000"/>
            </w:tcBorders>
            <w:shd w:val="clear" w:color="auto" w:fill="auto"/>
            <w:vAlign w:val="center"/>
          </w:tcPr>
          <w:p w14:paraId="6B5768B7"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nil"/>
              <w:right w:val="single" w:sz="8" w:space="0" w:color="000000"/>
            </w:tcBorders>
            <w:vAlign w:val="center"/>
          </w:tcPr>
          <w:p w14:paraId="13592E9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5F5E19DF"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fortalecimiento de la gestión de recursos debe ser mediante los fondos públicos, programas presupuestales, la movilización y la cooperación internacional?</w:t>
            </w:r>
          </w:p>
        </w:tc>
      </w:tr>
      <w:tr w:rsidR="00657D48" w14:paraId="0C374A4D" w14:textId="77777777">
        <w:trPr>
          <w:trHeight w:val="721"/>
        </w:trPr>
        <w:tc>
          <w:tcPr>
            <w:tcW w:w="1414" w:type="dxa"/>
            <w:vMerge/>
            <w:tcBorders>
              <w:top w:val="nil"/>
              <w:left w:val="single" w:sz="4" w:space="0" w:color="000000"/>
              <w:right w:val="single" w:sz="4" w:space="0" w:color="000000"/>
            </w:tcBorders>
            <w:shd w:val="clear" w:color="auto" w:fill="auto"/>
            <w:vAlign w:val="center"/>
          </w:tcPr>
          <w:p w14:paraId="59B86E6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val="restart"/>
            <w:tcBorders>
              <w:top w:val="single" w:sz="4" w:space="0" w:color="000000"/>
              <w:left w:val="single" w:sz="4" w:space="0" w:color="000000"/>
              <w:right w:val="single" w:sz="4" w:space="0" w:color="000000"/>
            </w:tcBorders>
            <w:shd w:val="clear" w:color="auto" w:fill="auto"/>
            <w:vAlign w:val="center"/>
          </w:tcPr>
          <w:p w14:paraId="136F3617"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Respuesta</w:t>
            </w:r>
          </w:p>
        </w:tc>
        <w:tc>
          <w:tcPr>
            <w:tcW w:w="1837" w:type="dxa"/>
            <w:vMerge w:val="restart"/>
            <w:tcBorders>
              <w:top w:val="single" w:sz="4" w:space="0" w:color="000000"/>
              <w:left w:val="single" w:sz="4" w:space="0" w:color="000000"/>
              <w:right w:val="single" w:sz="4" w:space="0" w:color="000000"/>
            </w:tcBorders>
            <w:vAlign w:val="center"/>
          </w:tcPr>
          <w:p w14:paraId="2C7AC256"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Conducción y coordinación de la atención de la emergencia o desastre</w:t>
            </w:r>
          </w:p>
        </w:tc>
        <w:tc>
          <w:tcPr>
            <w:tcW w:w="8484" w:type="dxa"/>
            <w:tcBorders>
              <w:top w:val="single" w:sz="4" w:space="0" w:color="000000"/>
              <w:left w:val="single" w:sz="4" w:space="0" w:color="000000"/>
              <w:bottom w:val="single" w:sz="4" w:space="0" w:color="000000"/>
              <w:right w:val="single" w:sz="4" w:space="0" w:color="000000"/>
            </w:tcBorders>
            <w:vAlign w:val="center"/>
          </w:tcPr>
          <w:p w14:paraId="7C7E16A2"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se realizan actividades transversales orientadas a conducir y coordinar las emergencias o desastres en el Sector?</w:t>
            </w:r>
          </w:p>
        </w:tc>
      </w:tr>
      <w:tr w:rsidR="00657D48" w14:paraId="13584DCA" w14:textId="77777777">
        <w:trPr>
          <w:trHeight w:val="514"/>
        </w:trPr>
        <w:tc>
          <w:tcPr>
            <w:tcW w:w="1414" w:type="dxa"/>
            <w:vMerge/>
            <w:tcBorders>
              <w:top w:val="nil"/>
              <w:left w:val="single" w:sz="4" w:space="0" w:color="000000"/>
              <w:right w:val="single" w:sz="4" w:space="0" w:color="000000"/>
            </w:tcBorders>
            <w:shd w:val="clear" w:color="auto" w:fill="auto"/>
            <w:vAlign w:val="center"/>
          </w:tcPr>
          <w:p w14:paraId="402A32C8"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2DEAEF1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28E2DCF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4" w:space="0" w:color="000000"/>
            </w:tcBorders>
            <w:vAlign w:val="center"/>
          </w:tcPr>
          <w:p w14:paraId="22438529"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la conducción y coordinación sirven para generar las decisiones que se transformen en acciones de intervención inicial, primera respuesta y respuesta complementaria con base a información oportuna en el Sector?</w:t>
            </w:r>
          </w:p>
        </w:tc>
      </w:tr>
      <w:tr w:rsidR="00657D48" w14:paraId="34110A7C"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3DACF455"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2F26325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single" w:sz="4" w:space="0" w:color="000000"/>
              <w:right w:val="single" w:sz="4" w:space="0" w:color="000000"/>
            </w:tcBorders>
            <w:vAlign w:val="center"/>
          </w:tcPr>
          <w:p w14:paraId="676584FF"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Búsqueda y salvamento</w:t>
            </w:r>
          </w:p>
        </w:tc>
        <w:tc>
          <w:tcPr>
            <w:tcW w:w="8484" w:type="dxa"/>
            <w:tcBorders>
              <w:top w:val="single" w:sz="4" w:space="0" w:color="000000"/>
              <w:left w:val="single" w:sz="4" w:space="0" w:color="000000"/>
              <w:bottom w:val="single" w:sz="4" w:space="0" w:color="000000"/>
              <w:right w:val="single" w:sz="4" w:space="0" w:color="000000"/>
            </w:tcBorders>
            <w:vAlign w:val="center"/>
          </w:tcPr>
          <w:p w14:paraId="3CAC2B97"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el entrenamiento de las FFAA para salvaguardar vidas, controlar incendios, explosiones y fugas es el adecuado?</w:t>
            </w:r>
          </w:p>
        </w:tc>
      </w:tr>
      <w:tr w:rsidR="00657D48" w14:paraId="5FF468C9" w14:textId="77777777">
        <w:trPr>
          <w:trHeight w:val="774"/>
        </w:trPr>
        <w:tc>
          <w:tcPr>
            <w:tcW w:w="1414" w:type="dxa"/>
            <w:vMerge/>
            <w:tcBorders>
              <w:top w:val="nil"/>
              <w:left w:val="single" w:sz="4" w:space="0" w:color="000000"/>
              <w:right w:val="single" w:sz="4" w:space="0" w:color="000000"/>
            </w:tcBorders>
            <w:shd w:val="clear" w:color="auto" w:fill="auto"/>
            <w:vAlign w:val="center"/>
          </w:tcPr>
          <w:p w14:paraId="0CCC0D98"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0B322BD5"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1EC832E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01561F1E"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personal que participa en la primera respuesta tiene bien establecidos los procedimientos para proteger los bienes y mantener la seguridad pública cuando actúa en una emergencia o desastres ?</w:t>
            </w:r>
          </w:p>
        </w:tc>
      </w:tr>
      <w:tr w:rsidR="00657D48" w14:paraId="559F259F"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3E64CB4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3BD72315"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4769B0A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3CA9B55B"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personal que participa en la primera respuesta como integrante de la CIRD’s tiene la capacitación y equipamiento adecuado?</w:t>
            </w:r>
          </w:p>
        </w:tc>
      </w:tr>
      <w:tr w:rsidR="00657D48" w14:paraId="6A247D3F" w14:textId="77777777">
        <w:trPr>
          <w:trHeight w:val="701"/>
        </w:trPr>
        <w:tc>
          <w:tcPr>
            <w:tcW w:w="1414" w:type="dxa"/>
            <w:vMerge/>
            <w:tcBorders>
              <w:top w:val="nil"/>
              <w:left w:val="single" w:sz="4" w:space="0" w:color="000000"/>
              <w:right w:val="single" w:sz="4" w:space="0" w:color="000000"/>
            </w:tcBorders>
            <w:shd w:val="clear" w:color="auto" w:fill="auto"/>
            <w:vAlign w:val="center"/>
          </w:tcPr>
          <w:p w14:paraId="55731C2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3C0AEFE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single" w:sz="4" w:space="0" w:color="000000"/>
              <w:right w:val="single" w:sz="8" w:space="0" w:color="000000"/>
            </w:tcBorders>
            <w:vAlign w:val="center"/>
          </w:tcPr>
          <w:p w14:paraId="0AA19F66"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Logística en la respuesta</w:t>
            </w:r>
          </w:p>
        </w:tc>
        <w:tc>
          <w:tcPr>
            <w:tcW w:w="8484" w:type="dxa"/>
            <w:tcBorders>
              <w:top w:val="single" w:sz="4" w:space="0" w:color="000000"/>
              <w:left w:val="nil"/>
              <w:bottom w:val="single" w:sz="4" w:space="0" w:color="000000"/>
              <w:right w:val="single" w:sz="8" w:space="0" w:color="000000"/>
            </w:tcBorders>
            <w:vAlign w:val="center"/>
          </w:tcPr>
          <w:p w14:paraId="756CCDEA"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el suministro en cuanto al abastecimiento y mantenimiento del equipo es el adecuado en las cantidades que requiere el personal de las FFAA para actuar en las emergencias o desastres?</w:t>
            </w:r>
          </w:p>
        </w:tc>
      </w:tr>
      <w:tr w:rsidR="00657D48" w14:paraId="3D8A08EC" w14:textId="77777777">
        <w:trPr>
          <w:trHeight w:val="153"/>
        </w:trPr>
        <w:tc>
          <w:tcPr>
            <w:tcW w:w="1414" w:type="dxa"/>
            <w:vMerge/>
            <w:tcBorders>
              <w:top w:val="nil"/>
              <w:left w:val="single" w:sz="4" w:space="0" w:color="000000"/>
              <w:right w:val="single" w:sz="4" w:space="0" w:color="000000"/>
            </w:tcBorders>
            <w:shd w:val="clear" w:color="auto" w:fill="auto"/>
            <w:vAlign w:val="center"/>
          </w:tcPr>
          <w:p w14:paraId="14E5C1D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4D491FE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8" w:space="0" w:color="000000"/>
            </w:tcBorders>
            <w:vAlign w:val="center"/>
          </w:tcPr>
          <w:p w14:paraId="095ABF5C"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nil"/>
              <w:bottom w:val="single" w:sz="4" w:space="0" w:color="000000"/>
              <w:right w:val="single" w:sz="8" w:space="0" w:color="000000"/>
            </w:tcBorders>
            <w:vAlign w:val="center"/>
          </w:tcPr>
          <w:p w14:paraId="796BF45A"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el equipamiento y el entrenamiento del personal especializado de las FFAA se debe fortalecer para actuar en emergencias o desastres?</w:t>
            </w:r>
          </w:p>
        </w:tc>
      </w:tr>
      <w:tr w:rsidR="00657D48" w14:paraId="6C135B05" w14:textId="77777777">
        <w:trPr>
          <w:trHeight w:val="709"/>
        </w:trPr>
        <w:tc>
          <w:tcPr>
            <w:tcW w:w="1414" w:type="dxa"/>
            <w:vMerge w:val="restart"/>
            <w:tcBorders>
              <w:left w:val="single" w:sz="4" w:space="0" w:color="000000"/>
              <w:right w:val="single" w:sz="4" w:space="0" w:color="000000"/>
            </w:tcBorders>
            <w:shd w:val="clear" w:color="auto" w:fill="auto"/>
            <w:vAlign w:val="center"/>
          </w:tcPr>
          <w:p w14:paraId="738512AF" w14:textId="77777777" w:rsidR="00657D48" w:rsidRDefault="003F3EE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V2: Competencia en el Sector Defensa</w:t>
            </w:r>
          </w:p>
        </w:tc>
        <w:tc>
          <w:tcPr>
            <w:tcW w:w="1696" w:type="dxa"/>
            <w:vMerge w:val="restart"/>
            <w:tcBorders>
              <w:top w:val="single" w:sz="4" w:space="0" w:color="000000"/>
              <w:left w:val="single" w:sz="4" w:space="0" w:color="000000"/>
              <w:right w:val="single" w:sz="4" w:space="0" w:color="000000"/>
            </w:tcBorders>
            <w:shd w:val="clear" w:color="auto" w:fill="auto"/>
            <w:vAlign w:val="center"/>
          </w:tcPr>
          <w:p w14:paraId="532AB251"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Socialización</w:t>
            </w:r>
          </w:p>
        </w:tc>
        <w:tc>
          <w:tcPr>
            <w:tcW w:w="1837" w:type="dxa"/>
            <w:vMerge w:val="restart"/>
            <w:tcBorders>
              <w:top w:val="single" w:sz="4" w:space="0" w:color="000000"/>
              <w:left w:val="single" w:sz="4" w:space="0" w:color="000000"/>
              <w:right w:val="single" w:sz="4" w:space="0" w:color="000000"/>
            </w:tcBorders>
            <w:vAlign w:val="center"/>
          </w:tcPr>
          <w:p w14:paraId="2807B940"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Difusión de los documentos normativos , herramientas e instrumentos del SINAGERD</w:t>
            </w:r>
          </w:p>
        </w:tc>
        <w:tc>
          <w:tcPr>
            <w:tcW w:w="8484" w:type="dxa"/>
            <w:tcBorders>
              <w:top w:val="single" w:sz="4" w:space="0" w:color="000000"/>
              <w:left w:val="single" w:sz="4" w:space="0" w:color="000000"/>
              <w:bottom w:val="single" w:sz="4" w:space="0" w:color="000000"/>
              <w:right w:val="single" w:sz="8" w:space="0" w:color="000000"/>
            </w:tcBorders>
            <w:vAlign w:val="center"/>
          </w:tcPr>
          <w:p w14:paraId="4B5A8E56"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 difusión de los documentos normativos, herramientas e instrumentos del SINAGERD en el Sector es el adecuado?</w:t>
            </w:r>
          </w:p>
        </w:tc>
      </w:tr>
      <w:tr w:rsidR="00657D48" w14:paraId="63E0FF87" w14:textId="77777777">
        <w:trPr>
          <w:trHeight w:val="153"/>
        </w:trPr>
        <w:tc>
          <w:tcPr>
            <w:tcW w:w="1414" w:type="dxa"/>
            <w:vMerge/>
            <w:tcBorders>
              <w:left w:val="single" w:sz="4" w:space="0" w:color="000000"/>
              <w:right w:val="single" w:sz="4" w:space="0" w:color="000000"/>
            </w:tcBorders>
            <w:shd w:val="clear" w:color="auto" w:fill="auto"/>
            <w:vAlign w:val="center"/>
          </w:tcPr>
          <w:p w14:paraId="3D97D098"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042A21C7"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5F5E788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4641C2F5"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se debería impulsar la difusión de los documentos normativos, herramientas e instrumentos del SINAGERD en el Sector?</w:t>
            </w:r>
          </w:p>
        </w:tc>
      </w:tr>
      <w:tr w:rsidR="00657D48" w14:paraId="1B28281A" w14:textId="77777777">
        <w:trPr>
          <w:trHeight w:val="730"/>
        </w:trPr>
        <w:tc>
          <w:tcPr>
            <w:tcW w:w="1414" w:type="dxa"/>
            <w:vMerge/>
            <w:tcBorders>
              <w:left w:val="single" w:sz="4" w:space="0" w:color="000000"/>
              <w:right w:val="single" w:sz="4" w:space="0" w:color="000000"/>
            </w:tcBorders>
            <w:shd w:val="clear" w:color="auto" w:fill="auto"/>
            <w:vAlign w:val="center"/>
          </w:tcPr>
          <w:p w14:paraId="49B7C5A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2A2712F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single" w:sz="4" w:space="0" w:color="000000"/>
              <w:right w:val="single" w:sz="4" w:space="0" w:color="000000"/>
            </w:tcBorders>
            <w:vAlign w:val="center"/>
          </w:tcPr>
          <w:p w14:paraId="380FE334"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Difusión de los documentos normativos de GRD del sector</w:t>
            </w:r>
          </w:p>
        </w:tc>
        <w:tc>
          <w:tcPr>
            <w:tcW w:w="8484" w:type="dxa"/>
            <w:tcBorders>
              <w:top w:val="single" w:sz="4" w:space="0" w:color="000000"/>
              <w:left w:val="single" w:sz="4" w:space="0" w:color="000000"/>
              <w:bottom w:val="single" w:sz="4" w:space="0" w:color="000000"/>
              <w:right w:val="single" w:sz="8" w:space="0" w:color="000000"/>
            </w:tcBorders>
            <w:vAlign w:val="center"/>
          </w:tcPr>
          <w:p w14:paraId="548C0853"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 difusión de los documentos normativos de GRD del Sector herramientas e instrumentos es el adecuado?</w:t>
            </w:r>
          </w:p>
        </w:tc>
      </w:tr>
      <w:tr w:rsidR="00657D48" w14:paraId="1878AF65" w14:textId="77777777">
        <w:trPr>
          <w:trHeight w:val="153"/>
        </w:trPr>
        <w:tc>
          <w:tcPr>
            <w:tcW w:w="1414" w:type="dxa"/>
            <w:vMerge/>
            <w:tcBorders>
              <w:left w:val="single" w:sz="4" w:space="0" w:color="000000"/>
              <w:right w:val="single" w:sz="4" w:space="0" w:color="000000"/>
            </w:tcBorders>
            <w:shd w:val="clear" w:color="auto" w:fill="auto"/>
            <w:vAlign w:val="center"/>
          </w:tcPr>
          <w:p w14:paraId="6E97400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3B7FB9B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2E054ADF"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1C16243B"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se debería impulsar la difusión de los documentos normativos herramientas e instrumentos de GRD en el Sector?</w:t>
            </w:r>
          </w:p>
        </w:tc>
      </w:tr>
      <w:tr w:rsidR="00657D48" w14:paraId="7CF9AE20" w14:textId="77777777">
        <w:trPr>
          <w:trHeight w:val="459"/>
        </w:trPr>
        <w:tc>
          <w:tcPr>
            <w:tcW w:w="1414" w:type="dxa"/>
            <w:vMerge/>
            <w:tcBorders>
              <w:left w:val="single" w:sz="4" w:space="0" w:color="000000"/>
              <w:right w:val="single" w:sz="4" w:space="0" w:color="000000"/>
            </w:tcBorders>
            <w:shd w:val="clear" w:color="auto" w:fill="auto"/>
            <w:vAlign w:val="center"/>
          </w:tcPr>
          <w:p w14:paraId="68ED85D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val="restart"/>
            <w:tcBorders>
              <w:top w:val="single" w:sz="4" w:space="0" w:color="000000"/>
              <w:left w:val="single" w:sz="4" w:space="0" w:color="000000"/>
              <w:right w:val="single" w:sz="4" w:space="0" w:color="000000"/>
            </w:tcBorders>
            <w:shd w:val="clear" w:color="auto" w:fill="auto"/>
            <w:vAlign w:val="center"/>
          </w:tcPr>
          <w:p w14:paraId="7B3556C2"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Sensibilización</w:t>
            </w:r>
          </w:p>
        </w:tc>
        <w:tc>
          <w:tcPr>
            <w:tcW w:w="1837" w:type="dxa"/>
            <w:vMerge w:val="restart"/>
            <w:tcBorders>
              <w:top w:val="single" w:sz="4" w:space="0" w:color="000000"/>
              <w:left w:val="single" w:sz="4" w:space="0" w:color="000000"/>
              <w:right w:val="single" w:sz="4" w:space="0" w:color="000000"/>
            </w:tcBorders>
            <w:vAlign w:val="center"/>
          </w:tcPr>
          <w:p w14:paraId="484E4AC2"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GRD como un tema transversal</w:t>
            </w:r>
          </w:p>
        </w:tc>
        <w:tc>
          <w:tcPr>
            <w:tcW w:w="8484" w:type="dxa"/>
            <w:tcBorders>
              <w:top w:val="single" w:sz="4" w:space="0" w:color="000000"/>
              <w:left w:val="single" w:sz="4" w:space="0" w:color="000000"/>
              <w:bottom w:val="single" w:sz="4" w:space="0" w:color="000000"/>
              <w:right w:val="single" w:sz="8" w:space="0" w:color="000000"/>
            </w:tcBorders>
            <w:vAlign w:val="center"/>
          </w:tcPr>
          <w:p w14:paraId="7E96DF19"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participamos activamente de forma trasversal en el SINAGERD?</w:t>
            </w:r>
          </w:p>
        </w:tc>
      </w:tr>
      <w:tr w:rsidR="00657D48" w14:paraId="0EFA1FB3" w14:textId="77777777">
        <w:trPr>
          <w:trHeight w:val="597"/>
        </w:trPr>
        <w:tc>
          <w:tcPr>
            <w:tcW w:w="1414" w:type="dxa"/>
            <w:vMerge/>
            <w:tcBorders>
              <w:left w:val="single" w:sz="4" w:space="0" w:color="000000"/>
              <w:right w:val="single" w:sz="4" w:space="0" w:color="000000"/>
            </w:tcBorders>
            <w:shd w:val="clear" w:color="auto" w:fill="auto"/>
            <w:vAlign w:val="center"/>
          </w:tcPr>
          <w:p w14:paraId="1199FF22"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5BDD786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5A617C22"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68E40754"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la participación debe ser más trasversal aprovechando las plataformas de defensa civil?</w:t>
            </w:r>
          </w:p>
        </w:tc>
      </w:tr>
      <w:tr w:rsidR="00657D48" w14:paraId="6BF73DDF" w14:textId="77777777">
        <w:trPr>
          <w:trHeight w:val="153"/>
        </w:trPr>
        <w:tc>
          <w:tcPr>
            <w:tcW w:w="1414" w:type="dxa"/>
            <w:vMerge/>
            <w:tcBorders>
              <w:left w:val="single" w:sz="4" w:space="0" w:color="000000"/>
              <w:right w:val="single" w:sz="4" w:space="0" w:color="000000"/>
            </w:tcBorders>
            <w:shd w:val="clear" w:color="auto" w:fill="auto"/>
            <w:vAlign w:val="center"/>
          </w:tcPr>
          <w:p w14:paraId="2C9EC502"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61F8B34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single" w:sz="4" w:space="0" w:color="000000"/>
              <w:right w:val="single" w:sz="4" w:space="0" w:color="000000"/>
            </w:tcBorders>
            <w:vAlign w:val="center"/>
          </w:tcPr>
          <w:p w14:paraId="1D032EB9"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Romper el esquema militar en la GRD</w:t>
            </w:r>
          </w:p>
        </w:tc>
        <w:tc>
          <w:tcPr>
            <w:tcW w:w="8484" w:type="dxa"/>
            <w:tcBorders>
              <w:top w:val="single" w:sz="4" w:space="0" w:color="000000"/>
              <w:left w:val="single" w:sz="4" w:space="0" w:color="000000"/>
              <w:bottom w:val="single" w:sz="4" w:space="0" w:color="000000"/>
              <w:right w:val="single" w:sz="8" w:space="0" w:color="000000"/>
            </w:tcBorders>
            <w:vAlign w:val="center"/>
          </w:tcPr>
          <w:p w14:paraId="1E2426F5"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 implementación de lo establecido en el SINAGERD se desarrolla exclusivamente dentro del esquema militar?</w:t>
            </w:r>
          </w:p>
        </w:tc>
      </w:tr>
      <w:tr w:rsidR="00657D48" w14:paraId="60AB048B" w14:textId="77777777">
        <w:trPr>
          <w:trHeight w:val="639"/>
        </w:trPr>
        <w:tc>
          <w:tcPr>
            <w:tcW w:w="1414" w:type="dxa"/>
            <w:vMerge/>
            <w:tcBorders>
              <w:left w:val="single" w:sz="4" w:space="0" w:color="000000"/>
              <w:right w:val="single" w:sz="4" w:space="0" w:color="000000"/>
            </w:tcBorders>
            <w:shd w:val="clear" w:color="auto" w:fill="auto"/>
            <w:vAlign w:val="center"/>
          </w:tcPr>
          <w:p w14:paraId="070D8F0C"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2E357CBA"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54FEBC58"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4B8C4E77"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la GRD se debe fortaleces desde el punto de vista multisectorial?</w:t>
            </w:r>
          </w:p>
        </w:tc>
      </w:tr>
      <w:tr w:rsidR="00657D48" w14:paraId="7CD90A52" w14:textId="77777777">
        <w:trPr>
          <w:trHeight w:val="755"/>
        </w:trPr>
        <w:tc>
          <w:tcPr>
            <w:tcW w:w="1414" w:type="dxa"/>
            <w:vMerge/>
            <w:tcBorders>
              <w:left w:val="single" w:sz="4" w:space="0" w:color="000000"/>
              <w:right w:val="single" w:sz="4" w:space="0" w:color="000000"/>
            </w:tcBorders>
            <w:shd w:val="clear" w:color="auto" w:fill="auto"/>
            <w:vAlign w:val="center"/>
          </w:tcPr>
          <w:p w14:paraId="1BDA361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val="restart"/>
            <w:tcBorders>
              <w:top w:val="single" w:sz="4" w:space="0" w:color="000000"/>
              <w:left w:val="single" w:sz="4" w:space="0" w:color="000000"/>
              <w:right w:val="single" w:sz="4" w:space="0" w:color="000000"/>
            </w:tcBorders>
            <w:shd w:val="clear" w:color="auto" w:fill="auto"/>
            <w:vAlign w:val="center"/>
          </w:tcPr>
          <w:p w14:paraId="1D5AECC6"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Implementación</w:t>
            </w:r>
          </w:p>
        </w:tc>
        <w:tc>
          <w:tcPr>
            <w:tcW w:w="1837" w:type="dxa"/>
            <w:vMerge w:val="restart"/>
            <w:tcBorders>
              <w:top w:val="single" w:sz="4" w:space="0" w:color="000000"/>
              <w:left w:val="single" w:sz="4" w:space="0" w:color="000000"/>
              <w:right w:val="single" w:sz="4" w:space="0" w:color="000000"/>
            </w:tcBorders>
            <w:vAlign w:val="center"/>
          </w:tcPr>
          <w:p w14:paraId="443A3388"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Capacidades adecuadas</w:t>
            </w:r>
          </w:p>
        </w:tc>
        <w:tc>
          <w:tcPr>
            <w:tcW w:w="8484" w:type="dxa"/>
            <w:tcBorders>
              <w:top w:val="single" w:sz="4" w:space="0" w:color="000000"/>
              <w:left w:val="single" w:sz="4" w:space="0" w:color="000000"/>
              <w:bottom w:val="single" w:sz="4" w:space="0" w:color="000000"/>
              <w:right w:val="single" w:sz="8" w:space="0" w:color="000000"/>
            </w:tcBorders>
            <w:vAlign w:val="center"/>
          </w:tcPr>
          <w:p w14:paraId="07D7CCD0"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actualmente contamos con capacidades organizacionales, humanas, técnicas y de investigación adecuadas para hacer frente a las emergencias o desastres en el Sector?</w:t>
            </w:r>
          </w:p>
        </w:tc>
      </w:tr>
      <w:tr w:rsidR="00657D48" w14:paraId="2D7F6653" w14:textId="77777777">
        <w:trPr>
          <w:trHeight w:val="660"/>
        </w:trPr>
        <w:tc>
          <w:tcPr>
            <w:tcW w:w="1414" w:type="dxa"/>
            <w:vMerge/>
            <w:tcBorders>
              <w:left w:val="single" w:sz="4" w:space="0" w:color="000000"/>
              <w:right w:val="single" w:sz="4" w:space="0" w:color="000000"/>
            </w:tcBorders>
            <w:shd w:val="clear" w:color="auto" w:fill="auto"/>
            <w:vAlign w:val="center"/>
          </w:tcPr>
          <w:p w14:paraId="2D6DE5EC"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6C1A6B9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4C9D9BE7"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5572BB11"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se debe impulsar la gestión para tener mejores capacidades organizacionales, humanas, técnicas y de investigación para hacer frente a las emergencias o desastres en el Sector?</w:t>
            </w:r>
          </w:p>
        </w:tc>
      </w:tr>
      <w:tr w:rsidR="00657D48" w14:paraId="1FAAF93F" w14:textId="77777777">
        <w:trPr>
          <w:trHeight w:val="769"/>
        </w:trPr>
        <w:tc>
          <w:tcPr>
            <w:tcW w:w="1414" w:type="dxa"/>
            <w:vMerge/>
            <w:tcBorders>
              <w:left w:val="single" w:sz="4" w:space="0" w:color="000000"/>
              <w:right w:val="single" w:sz="4" w:space="0" w:color="000000"/>
            </w:tcBorders>
            <w:shd w:val="clear" w:color="auto" w:fill="auto"/>
            <w:vAlign w:val="center"/>
          </w:tcPr>
          <w:p w14:paraId="0B854E4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1417CDC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val="restart"/>
            <w:tcBorders>
              <w:top w:val="single" w:sz="4" w:space="0" w:color="000000"/>
              <w:left w:val="single" w:sz="4" w:space="0" w:color="000000"/>
              <w:right w:val="single" w:sz="4" w:space="0" w:color="000000"/>
            </w:tcBorders>
            <w:vAlign w:val="center"/>
          </w:tcPr>
          <w:p w14:paraId="703D6384"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Acondicionar la fuerza</w:t>
            </w:r>
          </w:p>
        </w:tc>
        <w:tc>
          <w:tcPr>
            <w:tcW w:w="8484" w:type="dxa"/>
            <w:tcBorders>
              <w:top w:val="single" w:sz="4" w:space="0" w:color="000000"/>
              <w:left w:val="single" w:sz="4" w:space="0" w:color="000000"/>
              <w:bottom w:val="single" w:sz="4" w:space="0" w:color="000000"/>
              <w:right w:val="single" w:sz="8" w:space="0" w:color="000000"/>
            </w:tcBorders>
            <w:vAlign w:val="center"/>
          </w:tcPr>
          <w:p w14:paraId="7E1FA933"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¿Cree Ud., que las FFAA como entidad de primera respuesta cuenta con el equipamiento, personal especializado acorde para hacer frente a las emergencias o desastres?</w:t>
            </w:r>
          </w:p>
        </w:tc>
      </w:tr>
      <w:tr w:rsidR="00657D48" w14:paraId="0D3F7703" w14:textId="77777777">
        <w:trPr>
          <w:trHeight w:val="695"/>
        </w:trPr>
        <w:tc>
          <w:tcPr>
            <w:tcW w:w="1414" w:type="dxa"/>
            <w:vMerge/>
            <w:tcBorders>
              <w:left w:val="single" w:sz="4" w:space="0" w:color="000000"/>
              <w:right w:val="single" w:sz="4" w:space="0" w:color="000000"/>
            </w:tcBorders>
            <w:shd w:val="clear" w:color="auto" w:fill="auto"/>
            <w:vAlign w:val="center"/>
          </w:tcPr>
          <w:p w14:paraId="7D28B921"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96" w:type="dxa"/>
            <w:vMerge/>
            <w:tcBorders>
              <w:top w:val="single" w:sz="4" w:space="0" w:color="000000"/>
              <w:left w:val="single" w:sz="4" w:space="0" w:color="000000"/>
              <w:right w:val="single" w:sz="4" w:space="0" w:color="000000"/>
            </w:tcBorders>
            <w:shd w:val="clear" w:color="auto" w:fill="auto"/>
            <w:vAlign w:val="center"/>
          </w:tcPr>
          <w:p w14:paraId="1E531FA0"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837" w:type="dxa"/>
            <w:vMerge/>
            <w:tcBorders>
              <w:top w:val="single" w:sz="4" w:space="0" w:color="000000"/>
              <w:left w:val="single" w:sz="4" w:space="0" w:color="000000"/>
              <w:right w:val="single" w:sz="4" w:space="0" w:color="000000"/>
            </w:tcBorders>
            <w:vAlign w:val="center"/>
          </w:tcPr>
          <w:p w14:paraId="75F101A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8484" w:type="dxa"/>
            <w:tcBorders>
              <w:top w:val="single" w:sz="4" w:space="0" w:color="000000"/>
              <w:left w:val="single" w:sz="4" w:space="0" w:color="000000"/>
              <w:bottom w:val="single" w:sz="4" w:space="0" w:color="000000"/>
              <w:right w:val="single" w:sz="8" w:space="0" w:color="000000"/>
            </w:tcBorders>
            <w:vAlign w:val="center"/>
          </w:tcPr>
          <w:p w14:paraId="39DA7822" w14:textId="77777777" w:rsidR="00657D48" w:rsidRDefault="003F3EEB">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¿Considera Ud. que las FFAA deben gestionar una organización, equipamiento y entrenamiento tipo UME para hacer frente a las diversas emergencias o desastres que ocurren en nuestro territorio?</w:t>
            </w:r>
          </w:p>
        </w:tc>
      </w:tr>
    </w:tbl>
    <w:p w14:paraId="56C56C94" w14:textId="77777777" w:rsidR="00657D48" w:rsidRDefault="00657D48">
      <w:pPr>
        <w:spacing w:after="200"/>
        <w:rPr>
          <w:rFonts w:ascii="Times New Roman" w:eastAsia="Times New Roman" w:hAnsi="Times New Roman" w:cs="Times New Roman"/>
        </w:rPr>
        <w:sectPr w:rsidR="00657D48">
          <w:headerReference w:type="default" r:id="rId16"/>
          <w:footerReference w:type="default" r:id="rId17"/>
          <w:pgSz w:w="16838" w:h="11906" w:orient="landscape"/>
          <w:pgMar w:top="2268" w:right="1701" w:bottom="1701" w:left="1701" w:header="709" w:footer="709" w:gutter="0"/>
          <w:cols w:space="720"/>
        </w:sectPr>
      </w:pPr>
    </w:p>
    <w:p w14:paraId="6EE35656" w14:textId="31A537F5" w:rsidR="00657D48" w:rsidRPr="00AF3701" w:rsidRDefault="003F3EEB" w:rsidP="00AF3701">
      <w:pPr>
        <w:pStyle w:val="Ttulo1"/>
        <w:jc w:val="left"/>
      </w:pPr>
      <w:bookmarkStart w:id="142" w:name="_2wwbldi" w:colFirst="0" w:colLast="0"/>
      <w:bookmarkStart w:id="143" w:name="_Toc117518941"/>
      <w:bookmarkEnd w:id="142"/>
      <w:r w:rsidRPr="00AF3701">
        <w:lastRenderedPageBreak/>
        <w:t>4.9 Método de análisis de datos</w:t>
      </w:r>
      <w:bookmarkEnd w:id="143"/>
    </w:p>
    <w:p w14:paraId="227402A7" w14:textId="27AAF133" w:rsidR="00657D48" w:rsidRDefault="008D546D">
      <w:pPr>
        <w:pBdr>
          <w:top w:val="nil"/>
          <w:left w:val="nil"/>
          <w:bottom w:val="nil"/>
          <w:right w:val="nil"/>
          <w:between w:val="nil"/>
        </w:pBdr>
        <w:spacing w:after="200"/>
        <w:jc w:val="both"/>
        <w:rPr>
          <w:rFonts w:ascii="Times New Roman" w:eastAsia="Times New Roman" w:hAnsi="Times New Roman" w:cs="Times New Roman"/>
          <w:color w:val="000000"/>
        </w:rPr>
      </w:pPr>
      <w:r w:rsidRPr="008D546D">
        <w:rPr>
          <w:rFonts w:ascii="Times New Roman" w:eastAsia="Times New Roman" w:hAnsi="Times New Roman" w:cs="Times New Roman"/>
          <w:color w:val="000000"/>
        </w:rPr>
        <w:t>Los datos recolectados mediante la encuesta, básicamente, fueron sometidos a dos métodos de análisis que se explican en los siguientes apartados:</w:t>
      </w:r>
    </w:p>
    <w:p w14:paraId="5796793D" w14:textId="77777777" w:rsidR="00657D48" w:rsidRDefault="003F3EEB">
      <w:pPr>
        <w:widowControl w:val="0"/>
        <w:spacing w:after="200"/>
        <w:ind w:left="426"/>
        <w:jc w:val="both"/>
        <w:rPr>
          <w:rFonts w:ascii="Times New Roman" w:eastAsia="Times New Roman" w:hAnsi="Times New Roman" w:cs="Times New Roman"/>
          <w:b/>
        </w:rPr>
      </w:pPr>
      <w:r>
        <w:rPr>
          <w:rFonts w:ascii="Times New Roman" w:eastAsia="Times New Roman" w:hAnsi="Times New Roman" w:cs="Times New Roman"/>
          <w:b/>
        </w:rPr>
        <w:t>Análisis descriptivos</w:t>
      </w:r>
    </w:p>
    <w:p w14:paraId="42B5F852" w14:textId="2BF70378" w:rsidR="00657D48" w:rsidRDefault="008D546D">
      <w:pPr>
        <w:widowControl w:val="0"/>
        <w:spacing w:after="200"/>
        <w:ind w:firstLine="426"/>
        <w:jc w:val="both"/>
        <w:rPr>
          <w:rFonts w:ascii="Times New Roman" w:eastAsia="Times New Roman" w:hAnsi="Times New Roman" w:cs="Times New Roman"/>
        </w:rPr>
      </w:pPr>
      <w:r w:rsidRPr="008D546D">
        <w:rPr>
          <w:rFonts w:ascii="Times New Roman" w:eastAsia="Times New Roman" w:hAnsi="Times New Roman" w:cs="Times New Roman"/>
        </w:rPr>
        <w:t>En esta parte, se caracterizaron la situación percibida de la gestión de riesgo de desastre y la eficiencia de las competencias del Sector Defensa, representada mediante tablas y figuras de frecuencias.</w:t>
      </w:r>
    </w:p>
    <w:p w14:paraId="5A042F7D" w14:textId="77777777" w:rsidR="00657D48" w:rsidRDefault="003F3EEB">
      <w:pPr>
        <w:widowControl w:val="0"/>
        <w:spacing w:after="200"/>
        <w:ind w:left="426"/>
        <w:jc w:val="both"/>
        <w:rPr>
          <w:rFonts w:ascii="Times New Roman" w:eastAsia="Times New Roman" w:hAnsi="Times New Roman" w:cs="Times New Roman"/>
          <w:b/>
        </w:rPr>
      </w:pPr>
      <w:r>
        <w:rPr>
          <w:rFonts w:ascii="Times New Roman" w:eastAsia="Times New Roman" w:hAnsi="Times New Roman" w:cs="Times New Roman"/>
          <w:b/>
        </w:rPr>
        <w:t>Análisis inferencial</w:t>
      </w:r>
    </w:p>
    <w:p w14:paraId="7CBD38FE" w14:textId="0B99F23A" w:rsidR="00657D48" w:rsidRDefault="008D546D">
      <w:pPr>
        <w:pBdr>
          <w:top w:val="nil"/>
          <w:left w:val="nil"/>
          <w:bottom w:val="nil"/>
          <w:right w:val="nil"/>
          <w:between w:val="nil"/>
        </w:pBdr>
        <w:spacing w:after="200"/>
        <w:ind w:firstLine="567"/>
        <w:jc w:val="both"/>
        <w:rPr>
          <w:rFonts w:ascii="Times New Roman" w:eastAsia="Times New Roman" w:hAnsi="Times New Roman" w:cs="Times New Roman"/>
          <w:color w:val="000000"/>
        </w:rPr>
        <w:sectPr w:rsidR="00657D48">
          <w:pgSz w:w="11906" w:h="16838"/>
          <w:pgMar w:top="1701" w:right="1701" w:bottom="1701" w:left="2268" w:header="709" w:footer="709" w:gutter="0"/>
          <w:cols w:space="720"/>
        </w:sectPr>
      </w:pPr>
      <w:r w:rsidRPr="008D546D">
        <w:rPr>
          <w:rFonts w:ascii="Times New Roman" w:eastAsia="Times New Roman" w:hAnsi="Times New Roman" w:cs="Times New Roman"/>
          <w:color w:val="000000"/>
        </w:rPr>
        <w:t>En esta parte, se buscó definir el grado de relación que existe entre las variables estudiadas, acudiendo a pruebas estadísticas como el Rho de Spearman, donde el p valor tiene que ser menor a 0.05, para determinar que una variable se encuentra asociada a otra.</w:t>
      </w:r>
    </w:p>
    <w:p w14:paraId="02406CFA" w14:textId="06914D41" w:rsidR="00657D48" w:rsidRPr="00F903C1" w:rsidRDefault="003F3EEB" w:rsidP="00F903C1">
      <w:pPr>
        <w:pStyle w:val="Ttulo1"/>
      </w:pPr>
      <w:bookmarkStart w:id="144" w:name="_Toc117518942"/>
      <w:r w:rsidRPr="00F903C1">
        <w:rPr>
          <w:color w:val="000000"/>
        </w:rPr>
        <w:lastRenderedPageBreak/>
        <w:t>CAPÍTULO V</w:t>
      </w:r>
      <w:bookmarkEnd w:id="144"/>
    </w:p>
    <w:p w14:paraId="7CA15A4E" w14:textId="2BD746D3" w:rsidR="00657D48" w:rsidRPr="00F903C1" w:rsidRDefault="003F3EEB" w:rsidP="00F903C1">
      <w:pPr>
        <w:pStyle w:val="Ttulo1"/>
      </w:pPr>
      <w:bookmarkStart w:id="145" w:name="_Toc117518943"/>
      <w:r w:rsidRPr="00F903C1">
        <w:rPr>
          <w:color w:val="000000"/>
        </w:rPr>
        <w:t>Resultados</w:t>
      </w:r>
      <w:bookmarkEnd w:id="145"/>
    </w:p>
    <w:p w14:paraId="551257FA" w14:textId="7D7B4F51" w:rsidR="00657D48" w:rsidRPr="00F903C1" w:rsidRDefault="003F3EEB" w:rsidP="00F903C1">
      <w:pPr>
        <w:pStyle w:val="Ttulo1"/>
        <w:jc w:val="left"/>
      </w:pPr>
      <w:bookmarkStart w:id="146" w:name="_Toc117518944"/>
      <w:r w:rsidRPr="00F903C1">
        <w:rPr>
          <w:color w:val="000000"/>
        </w:rPr>
        <w:t>5.1 Análisis descriptivo</w:t>
      </w:r>
      <w:bookmarkEnd w:id="146"/>
    </w:p>
    <w:p w14:paraId="3BC5E31E" w14:textId="77777777" w:rsidR="00657D48" w:rsidRDefault="003F3EEB">
      <w:pPr>
        <w:spacing w:after="100"/>
        <w:jc w:val="both"/>
        <w:rPr>
          <w:rFonts w:ascii="Times New Roman" w:eastAsia="Times New Roman" w:hAnsi="Times New Roman" w:cs="Times New Roman"/>
          <w:b/>
        </w:rPr>
      </w:pPr>
      <w:r>
        <w:rPr>
          <w:rFonts w:ascii="Times New Roman" w:eastAsia="Times New Roman" w:hAnsi="Times New Roman" w:cs="Times New Roman"/>
          <w:b/>
        </w:rPr>
        <w:t>5.1.1. Gestión del Riesgo de Desastres</w:t>
      </w:r>
    </w:p>
    <w:p w14:paraId="4AB2BC38" w14:textId="1EF129A8" w:rsidR="000401B3" w:rsidRPr="00AF3701" w:rsidRDefault="000401B3" w:rsidP="000401B3">
      <w:pPr>
        <w:pStyle w:val="Descripcin"/>
        <w:rPr>
          <w:rFonts w:ascii="Times New Roman" w:eastAsia="Times New Roman" w:hAnsi="Times New Roman" w:cs="Times New Roman"/>
          <w:b/>
          <w:i w:val="0"/>
          <w:color w:val="auto"/>
          <w:sz w:val="24"/>
        </w:rPr>
      </w:pPr>
      <w:bookmarkStart w:id="147" w:name="_1opuj5n" w:colFirst="0" w:colLast="0"/>
      <w:bookmarkStart w:id="148" w:name="_Toc116591661"/>
      <w:bookmarkEnd w:id="147"/>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4</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48"/>
    </w:p>
    <w:p w14:paraId="67F23207"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Gestión del Riesgo de Desastres según los funcionarios del Sector Defensa</w:t>
      </w:r>
    </w:p>
    <w:tbl>
      <w:tblPr>
        <w:tblStyle w:val="a2"/>
        <w:tblW w:w="7930"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3"/>
        <w:gridCol w:w="2643"/>
        <w:gridCol w:w="2644"/>
      </w:tblGrid>
      <w:tr w:rsidR="00657D48" w14:paraId="1D2FCA25" w14:textId="77777777">
        <w:trPr>
          <w:cantSplit/>
          <w:trHeight w:val="410"/>
        </w:trPr>
        <w:tc>
          <w:tcPr>
            <w:tcW w:w="2643" w:type="dxa"/>
            <w:tcBorders>
              <w:top w:val="single" w:sz="4" w:space="0" w:color="000000"/>
              <w:bottom w:val="single" w:sz="4" w:space="0" w:color="000000"/>
            </w:tcBorders>
            <w:shd w:val="clear" w:color="auto" w:fill="auto"/>
            <w:vAlign w:val="center"/>
          </w:tcPr>
          <w:p w14:paraId="517626C9"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3" w:type="dxa"/>
            <w:tcBorders>
              <w:top w:val="single" w:sz="4" w:space="0" w:color="000000"/>
              <w:bottom w:val="single" w:sz="4" w:space="0" w:color="000000"/>
            </w:tcBorders>
            <w:shd w:val="clear" w:color="auto" w:fill="auto"/>
            <w:vAlign w:val="center"/>
          </w:tcPr>
          <w:p w14:paraId="3CBACA9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44" w:type="dxa"/>
            <w:tcBorders>
              <w:top w:val="single" w:sz="4" w:space="0" w:color="000000"/>
              <w:bottom w:val="single" w:sz="4" w:space="0" w:color="000000"/>
            </w:tcBorders>
            <w:shd w:val="clear" w:color="auto" w:fill="auto"/>
            <w:vAlign w:val="center"/>
          </w:tcPr>
          <w:p w14:paraId="64FB712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05FCBB75" w14:textId="77777777">
        <w:trPr>
          <w:cantSplit/>
          <w:trHeight w:val="410"/>
        </w:trPr>
        <w:tc>
          <w:tcPr>
            <w:tcW w:w="2643" w:type="dxa"/>
            <w:tcBorders>
              <w:top w:val="single" w:sz="4" w:space="0" w:color="000000"/>
            </w:tcBorders>
            <w:shd w:val="clear" w:color="auto" w:fill="auto"/>
            <w:vAlign w:val="center"/>
          </w:tcPr>
          <w:p w14:paraId="4D6AA80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Malo</w:t>
            </w:r>
          </w:p>
        </w:tc>
        <w:tc>
          <w:tcPr>
            <w:tcW w:w="2643" w:type="dxa"/>
            <w:tcBorders>
              <w:top w:val="single" w:sz="4" w:space="0" w:color="000000"/>
            </w:tcBorders>
            <w:shd w:val="clear" w:color="auto" w:fill="auto"/>
          </w:tcPr>
          <w:p w14:paraId="0FBD3CC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126</w:t>
            </w:r>
          </w:p>
        </w:tc>
        <w:tc>
          <w:tcPr>
            <w:tcW w:w="2644" w:type="dxa"/>
            <w:tcBorders>
              <w:top w:val="single" w:sz="4" w:space="0" w:color="000000"/>
            </w:tcBorders>
            <w:shd w:val="clear" w:color="auto" w:fill="auto"/>
          </w:tcPr>
          <w:p w14:paraId="69D0AFF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32.9%</w:t>
            </w:r>
          </w:p>
        </w:tc>
      </w:tr>
      <w:tr w:rsidR="00657D48" w14:paraId="0EA91162" w14:textId="77777777">
        <w:trPr>
          <w:cantSplit/>
          <w:trHeight w:val="427"/>
        </w:trPr>
        <w:tc>
          <w:tcPr>
            <w:tcW w:w="2643" w:type="dxa"/>
            <w:shd w:val="clear" w:color="auto" w:fill="auto"/>
            <w:vAlign w:val="center"/>
          </w:tcPr>
          <w:p w14:paraId="4BB0279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3" w:type="dxa"/>
            <w:shd w:val="clear" w:color="auto" w:fill="auto"/>
          </w:tcPr>
          <w:p w14:paraId="3FEC56A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151</w:t>
            </w:r>
          </w:p>
        </w:tc>
        <w:tc>
          <w:tcPr>
            <w:tcW w:w="2644" w:type="dxa"/>
            <w:shd w:val="clear" w:color="auto" w:fill="auto"/>
          </w:tcPr>
          <w:p w14:paraId="68C5FDD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39.4%</w:t>
            </w:r>
          </w:p>
        </w:tc>
      </w:tr>
      <w:tr w:rsidR="00657D48" w14:paraId="6B65C374" w14:textId="77777777">
        <w:trPr>
          <w:cantSplit/>
          <w:trHeight w:val="427"/>
        </w:trPr>
        <w:tc>
          <w:tcPr>
            <w:tcW w:w="2643" w:type="dxa"/>
            <w:shd w:val="clear" w:color="auto" w:fill="auto"/>
            <w:vAlign w:val="center"/>
          </w:tcPr>
          <w:p w14:paraId="070C870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Bueno</w:t>
            </w:r>
          </w:p>
        </w:tc>
        <w:tc>
          <w:tcPr>
            <w:tcW w:w="2643" w:type="dxa"/>
            <w:shd w:val="clear" w:color="auto" w:fill="auto"/>
          </w:tcPr>
          <w:p w14:paraId="06A45097"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106</w:t>
            </w:r>
          </w:p>
        </w:tc>
        <w:tc>
          <w:tcPr>
            <w:tcW w:w="2644" w:type="dxa"/>
            <w:shd w:val="clear" w:color="auto" w:fill="auto"/>
          </w:tcPr>
          <w:p w14:paraId="68B463C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27.7%</w:t>
            </w:r>
          </w:p>
        </w:tc>
      </w:tr>
      <w:tr w:rsidR="00657D48" w14:paraId="6E924321" w14:textId="77777777">
        <w:trPr>
          <w:cantSplit/>
          <w:trHeight w:val="427"/>
        </w:trPr>
        <w:tc>
          <w:tcPr>
            <w:tcW w:w="2643" w:type="dxa"/>
            <w:shd w:val="clear" w:color="auto" w:fill="auto"/>
            <w:vAlign w:val="center"/>
          </w:tcPr>
          <w:p w14:paraId="3A082F6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3" w:type="dxa"/>
            <w:shd w:val="clear" w:color="auto" w:fill="auto"/>
          </w:tcPr>
          <w:p w14:paraId="670E67F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44" w:type="dxa"/>
            <w:shd w:val="clear" w:color="auto" w:fill="auto"/>
          </w:tcPr>
          <w:p w14:paraId="2EB8474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7C2643DE" w14:textId="77777777" w:rsidR="00657D48" w:rsidRDefault="003F3EEB">
      <w:pPr>
        <w:spacing w:after="200"/>
        <w:rPr>
          <w:rFonts w:ascii="Times New Roman" w:eastAsia="Times New Roman" w:hAnsi="Times New Roman" w:cs="Times New Roman"/>
          <w:sz w:val="20"/>
          <w:szCs w:val="20"/>
        </w:rPr>
      </w:pPr>
      <w:bookmarkStart w:id="149" w:name="_4du1wux" w:colFirst="0" w:colLast="0"/>
      <w:bookmarkEnd w:id="149"/>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630697A7" w14:textId="455A5A61" w:rsidR="00657D48" w:rsidRPr="000401B3" w:rsidRDefault="000401B3" w:rsidP="000401B3">
      <w:pPr>
        <w:pStyle w:val="Descripcin"/>
        <w:rPr>
          <w:rFonts w:ascii="Times New Roman" w:eastAsia="Times New Roman" w:hAnsi="Times New Roman" w:cs="Times New Roman"/>
          <w:b/>
          <w:i w:val="0"/>
          <w:color w:val="auto"/>
          <w:sz w:val="24"/>
        </w:rPr>
      </w:pPr>
      <w:bookmarkStart w:id="150" w:name="_Toc116591693"/>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50"/>
    </w:p>
    <w:p w14:paraId="0EF4D330" w14:textId="77777777" w:rsidR="00657D48" w:rsidRDefault="003F3EEB">
      <w:pPr>
        <w:spacing w:after="0"/>
        <w:rPr>
          <w:rFonts w:ascii="Times New Roman" w:eastAsia="Times New Roman" w:hAnsi="Times New Roman" w:cs="Times New Roman"/>
          <w:i/>
        </w:rPr>
      </w:pPr>
      <w:r>
        <w:t xml:space="preserve"> </w:t>
      </w:r>
      <w:r>
        <w:rPr>
          <w:rFonts w:ascii="Times New Roman" w:eastAsia="Times New Roman" w:hAnsi="Times New Roman" w:cs="Times New Roman"/>
          <w:i/>
        </w:rPr>
        <w:t>Gestión del Riesgo de Desastres según los funcionarios del Sector Defensa</w:t>
      </w:r>
      <w:r>
        <w:rPr>
          <w:noProof/>
        </w:rPr>
        <w:drawing>
          <wp:anchor distT="0" distB="0" distL="114300" distR="114300" simplePos="0" relativeHeight="251663360" behindDoc="0" locked="0" layoutInCell="1" hidden="0" allowOverlap="1" wp14:anchorId="60108766" wp14:editId="75273B87">
            <wp:simplePos x="0" y="0"/>
            <wp:positionH relativeFrom="column">
              <wp:posOffset>39371</wp:posOffset>
            </wp:positionH>
            <wp:positionV relativeFrom="paragraph">
              <wp:posOffset>222250</wp:posOffset>
            </wp:positionV>
            <wp:extent cx="5000625" cy="2609850"/>
            <wp:effectExtent l="0" t="0" r="0" b="0"/>
            <wp:wrapTopAndBottom distT="0" distB="0"/>
            <wp:docPr id="1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l="21894" t="32602" r="23286" b="14268"/>
                    <a:stretch>
                      <a:fillRect/>
                    </a:stretch>
                  </pic:blipFill>
                  <pic:spPr>
                    <a:xfrm>
                      <a:off x="0" y="0"/>
                      <a:ext cx="5000625" cy="2609850"/>
                    </a:xfrm>
                    <a:prstGeom prst="rect">
                      <a:avLst/>
                    </a:prstGeom>
                    <a:ln/>
                  </pic:spPr>
                </pic:pic>
              </a:graphicData>
            </a:graphic>
          </wp:anchor>
        </w:drawing>
      </w:r>
    </w:p>
    <w:p w14:paraId="61569308"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51537565" w14:textId="1FF9493E" w:rsidR="00657D48" w:rsidRDefault="008D546D">
      <w:pPr>
        <w:spacing w:after="200"/>
        <w:ind w:firstLine="567"/>
        <w:jc w:val="both"/>
        <w:rPr>
          <w:rFonts w:ascii="Times New Roman" w:eastAsia="Times New Roman" w:hAnsi="Times New Roman" w:cs="Times New Roman"/>
        </w:rPr>
      </w:pPr>
      <w:r w:rsidRPr="008D546D">
        <w:rPr>
          <w:rFonts w:ascii="Times New Roman" w:eastAsia="Times New Roman" w:hAnsi="Times New Roman" w:cs="Times New Roman"/>
        </w:rPr>
        <w:t>Al consultar a los funcionarios del Sector Defensa sobre la Gestión del Riesgo de Desastres, se evidenció que el 32.9% (126) exhortó que dicha gestión aún es de nivel malo, 39.4% (151) consideró que es regular y el 27.7% (106) indicó que es bueno. De estos hallazgos, se puede deducir que  los funcionarios del  Sector</w:t>
      </w:r>
      <w:r>
        <w:rPr>
          <w:rFonts w:ascii="Times New Roman" w:eastAsia="Times New Roman" w:hAnsi="Times New Roman" w:cs="Times New Roman"/>
        </w:rPr>
        <w:t xml:space="preserve"> </w:t>
      </w:r>
      <w:r w:rsidRPr="008D546D">
        <w:rPr>
          <w:rFonts w:ascii="Times New Roman" w:eastAsia="Times New Roman" w:hAnsi="Times New Roman" w:cs="Times New Roman"/>
        </w:rPr>
        <w:lastRenderedPageBreak/>
        <w:t>Defensa, en su mayoría, consideraron que la Gestión del Riesgo de Desastres es entre malo y regular.</w:t>
      </w:r>
    </w:p>
    <w:p w14:paraId="1B4AFF8D" w14:textId="45A8103B" w:rsidR="000401B3" w:rsidRPr="00AF3701" w:rsidRDefault="000401B3" w:rsidP="000401B3">
      <w:pPr>
        <w:pStyle w:val="Descripcin"/>
        <w:rPr>
          <w:rFonts w:ascii="Times New Roman" w:eastAsia="Times New Roman" w:hAnsi="Times New Roman" w:cs="Times New Roman"/>
          <w:b/>
          <w:i w:val="0"/>
          <w:color w:val="auto"/>
          <w:sz w:val="24"/>
        </w:rPr>
      </w:pPr>
      <w:bookmarkStart w:id="151" w:name="_48pi1tg" w:colFirst="0" w:colLast="0"/>
      <w:bookmarkStart w:id="152" w:name="_Toc116591662"/>
      <w:bookmarkEnd w:id="151"/>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5</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52"/>
    </w:p>
    <w:p w14:paraId="5D5C8A6F"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Reducción del Riesgo según los funcionarios del Sector Defensa</w:t>
      </w:r>
    </w:p>
    <w:tbl>
      <w:tblPr>
        <w:tblStyle w:val="a3"/>
        <w:tblW w:w="7933"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4"/>
        <w:gridCol w:w="2644"/>
        <w:gridCol w:w="2645"/>
      </w:tblGrid>
      <w:tr w:rsidR="00657D48" w14:paraId="5508094C" w14:textId="77777777">
        <w:trPr>
          <w:cantSplit/>
          <w:trHeight w:val="642"/>
        </w:trPr>
        <w:tc>
          <w:tcPr>
            <w:tcW w:w="2644" w:type="dxa"/>
            <w:tcBorders>
              <w:top w:val="single" w:sz="4" w:space="0" w:color="000000"/>
              <w:bottom w:val="single" w:sz="4" w:space="0" w:color="000000"/>
            </w:tcBorders>
            <w:shd w:val="clear" w:color="auto" w:fill="auto"/>
            <w:vAlign w:val="center"/>
          </w:tcPr>
          <w:p w14:paraId="42379ACB"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4" w:type="dxa"/>
            <w:tcBorders>
              <w:top w:val="single" w:sz="4" w:space="0" w:color="000000"/>
              <w:bottom w:val="single" w:sz="4" w:space="0" w:color="000000"/>
            </w:tcBorders>
            <w:shd w:val="clear" w:color="auto" w:fill="auto"/>
            <w:vAlign w:val="center"/>
          </w:tcPr>
          <w:p w14:paraId="6A3A28B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45" w:type="dxa"/>
            <w:tcBorders>
              <w:top w:val="single" w:sz="4" w:space="0" w:color="000000"/>
              <w:bottom w:val="single" w:sz="4" w:space="0" w:color="000000"/>
            </w:tcBorders>
            <w:shd w:val="clear" w:color="auto" w:fill="auto"/>
            <w:vAlign w:val="center"/>
          </w:tcPr>
          <w:p w14:paraId="543A20C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0F8DB751" w14:textId="77777777">
        <w:trPr>
          <w:cantSplit/>
          <w:trHeight w:val="642"/>
        </w:trPr>
        <w:tc>
          <w:tcPr>
            <w:tcW w:w="2644" w:type="dxa"/>
            <w:tcBorders>
              <w:top w:val="single" w:sz="4" w:space="0" w:color="000000"/>
            </w:tcBorders>
            <w:shd w:val="clear" w:color="auto" w:fill="auto"/>
            <w:vAlign w:val="center"/>
          </w:tcPr>
          <w:p w14:paraId="30597962"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Malo</w:t>
            </w:r>
          </w:p>
        </w:tc>
        <w:tc>
          <w:tcPr>
            <w:tcW w:w="2644" w:type="dxa"/>
            <w:tcBorders>
              <w:top w:val="single" w:sz="4" w:space="0" w:color="000000"/>
            </w:tcBorders>
            <w:shd w:val="clear" w:color="auto" w:fill="auto"/>
            <w:vAlign w:val="center"/>
          </w:tcPr>
          <w:p w14:paraId="7392771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142</w:t>
            </w:r>
          </w:p>
        </w:tc>
        <w:tc>
          <w:tcPr>
            <w:tcW w:w="2645" w:type="dxa"/>
            <w:tcBorders>
              <w:top w:val="single" w:sz="4" w:space="0" w:color="000000"/>
            </w:tcBorders>
            <w:shd w:val="clear" w:color="auto" w:fill="auto"/>
            <w:vAlign w:val="center"/>
          </w:tcPr>
          <w:p w14:paraId="54EFD36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37.1%</w:t>
            </w:r>
          </w:p>
        </w:tc>
      </w:tr>
      <w:tr w:rsidR="00657D48" w14:paraId="1AA0A226" w14:textId="77777777">
        <w:trPr>
          <w:cantSplit/>
          <w:trHeight w:val="669"/>
        </w:trPr>
        <w:tc>
          <w:tcPr>
            <w:tcW w:w="2644" w:type="dxa"/>
            <w:shd w:val="clear" w:color="auto" w:fill="auto"/>
            <w:vAlign w:val="center"/>
          </w:tcPr>
          <w:p w14:paraId="4ABE47F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4" w:type="dxa"/>
            <w:shd w:val="clear" w:color="auto" w:fill="auto"/>
            <w:vAlign w:val="center"/>
          </w:tcPr>
          <w:p w14:paraId="00DA8DC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136</w:t>
            </w:r>
          </w:p>
        </w:tc>
        <w:tc>
          <w:tcPr>
            <w:tcW w:w="2645" w:type="dxa"/>
            <w:shd w:val="clear" w:color="auto" w:fill="auto"/>
            <w:vAlign w:val="center"/>
          </w:tcPr>
          <w:p w14:paraId="5B7E62C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35.5%</w:t>
            </w:r>
          </w:p>
        </w:tc>
      </w:tr>
      <w:tr w:rsidR="00657D48" w14:paraId="22CA469C" w14:textId="77777777">
        <w:trPr>
          <w:cantSplit/>
          <w:trHeight w:val="669"/>
        </w:trPr>
        <w:tc>
          <w:tcPr>
            <w:tcW w:w="2644" w:type="dxa"/>
            <w:shd w:val="clear" w:color="auto" w:fill="auto"/>
            <w:vAlign w:val="center"/>
          </w:tcPr>
          <w:p w14:paraId="1F7944A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Bueno</w:t>
            </w:r>
          </w:p>
        </w:tc>
        <w:tc>
          <w:tcPr>
            <w:tcW w:w="2644" w:type="dxa"/>
            <w:shd w:val="clear" w:color="auto" w:fill="auto"/>
            <w:vAlign w:val="center"/>
          </w:tcPr>
          <w:p w14:paraId="0A4C758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105</w:t>
            </w:r>
          </w:p>
        </w:tc>
        <w:tc>
          <w:tcPr>
            <w:tcW w:w="2645" w:type="dxa"/>
            <w:shd w:val="clear" w:color="auto" w:fill="auto"/>
            <w:vAlign w:val="center"/>
          </w:tcPr>
          <w:p w14:paraId="32452C8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27.4%</w:t>
            </w:r>
          </w:p>
        </w:tc>
      </w:tr>
      <w:tr w:rsidR="00657D48" w14:paraId="21D238C7" w14:textId="77777777">
        <w:trPr>
          <w:cantSplit/>
          <w:trHeight w:val="669"/>
        </w:trPr>
        <w:tc>
          <w:tcPr>
            <w:tcW w:w="2644" w:type="dxa"/>
            <w:shd w:val="clear" w:color="auto" w:fill="auto"/>
            <w:vAlign w:val="center"/>
          </w:tcPr>
          <w:p w14:paraId="4503830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4" w:type="dxa"/>
            <w:shd w:val="clear" w:color="auto" w:fill="auto"/>
            <w:vAlign w:val="center"/>
          </w:tcPr>
          <w:p w14:paraId="32C73BE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45" w:type="dxa"/>
            <w:shd w:val="clear" w:color="auto" w:fill="auto"/>
            <w:vAlign w:val="center"/>
          </w:tcPr>
          <w:p w14:paraId="2052C16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18D8F227" w14:textId="77777777" w:rsidR="00657D48" w:rsidRDefault="003F3EEB">
      <w:pPr>
        <w:spacing w:after="200"/>
        <w:rPr>
          <w:rFonts w:ascii="Times New Roman" w:eastAsia="Times New Roman" w:hAnsi="Times New Roman" w:cs="Times New Roman"/>
          <w:sz w:val="20"/>
          <w:szCs w:val="20"/>
        </w:rPr>
      </w:pPr>
      <w:bookmarkStart w:id="153" w:name="_2szc72q" w:colFirst="0" w:colLast="0"/>
      <w:bookmarkEnd w:id="153"/>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296F6727" w14:textId="45149774" w:rsidR="000401B3" w:rsidRPr="000401B3" w:rsidRDefault="000401B3" w:rsidP="000401B3">
      <w:pPr>
        <w:pStyle w:val="Descripcin"/>
        <w:rPr>
          <w:rFonts w:ascii="Times New Roman" w:eastAsia="Times New Roman" w:hAnsi="Times New Roman" w:cs="Times New Roman"/>
          <w:b/>
          <w:i w:val="0"/>
          <w:color w:val="auto"/>
          <w:sz w:val="24"/>
        </w:rPr>
      </w:pPr>
      <w:bookmarkStart w:id="154" w:name="_Toc116591694"/>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2</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54"/>
    </w:p>
    <w:p w14:paraId="6DA09FCF"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Reducción del Riesgo según los funcionarios del Sector Defensa</w:t>
      </w:r>
      <w:r>
        <w:rPr>
          <w:noProof/>
        </w:rPr>
        <w:drawing>
          <wp:anchor distT="0" distB="0" distL="114300" distR="114300" simplePos="0" relativeHeight="251664384" behindDoc="0" locked="0" layoutInCell="1" hidden="0" allowOverlap="1" wp14:anchorId="7D23A453" wp14:editId="5B63EEC6">
            <wp:simplePos x="0" y="0"/>
            <wp:positionH relativeFrom="column">
              <wp:posOffset>1272</wp:posOffset>
            </wp:positionH>
            <wp:positionV relativeFrom="paragraph">
              <wp:posOffset>225425</wp:posOffset>
            </wp:positionV>
            <wp:extent cx="5038725" cy="3133725"/>
            <wp:effectExtent l="0" t="0" r="0" b="0"/>
            <wp:wrapTopAndBottom distT="0" dist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l="21555" t="28979" r="24642" b="17891"/>
                    <a:stretch>
                      <a:fillRect/>
                    </a:stretch>
                  </pic:blipFill>
                  <pic:spPr>
                    <a:xfrm>
                      <a:off x="0" y="0"/>
                      <a:ext cx="5038725" cy="3133725"/>
                    </a:xfrm>
                    <a:prstGeom prst="rect">
                      <a:avLst/>
                    </a:prstGeom>
                    <a:ln/>
                  </pic:spPr>
                </pic:pic>
              </a:graphicData>
            </a:graphic>
          </wp:anchor>
        </w:drawing>
      </w:r>
    </w:p>
    <w:p w14:paraId="461FAF9A"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48A073E5" w14:textId="12E06D7A"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t>Al consultar a los funcionarios del Sector Defensa sobre el proceso de Reducción de Riesgo, se evidenció que el 37.1% (142) exhortó que</w:t>
      </w:r>
      <w:r w:rsidR="00A17E29">
        <w:rPr>
          <w:rFonts w:ascii="Times New Roman" w:eastAsia="Times New Roman" w:hAnsi="Times New Roman" w:cs="Times New Roman"/>
        </w:rPr>
        <w:t xml:space="preserve"> dicho proceso</w:t>
      </w:r>
      <w:r w:rsidRPr="00B37FF3">
        <w:rPr>
          <w:rFonts w:ascii="Times New Roman" w:eastAsia="Times New Roman" w:hAnsi="Times New Roman" w:cs="Times New Roman"/>
        </w:rPr>
        <w:t xml:space="preserve"> aún es de nivel malo, 35.5% (136) consideró que es regular y el 27.4% (105) indicó </w:t>
      </w:r>
      <w:r w:rsidRPr="00B37FF3">
        <w:rPr>
          <w:rFonts w:ascii="Times New Roman" w:eastAsia="Times New Roman" w:hAnsi="Times New Roman" w:cs="Times New Roman"/>
        </w:rPr>
        <w:lastRenderedPageBreak/>
        <w:t>que es bueno.</w:t>
      </w:r>
      <w:r w:rsidRPr="00B37FF3">
        <w:t xml:space="preserve"> </w:t>
      </w:r>
      <w:r w:rsidRPr="00B37FF3">
        <w:rPr>
          <w:rFonts w:ascii="Times New Roman" w:eastAsia="Times New Roman" w:hAnsi="Times New Roman" w:cs="Times New Roman"/>
        </w:rPr>
        <w:t>De estos hallazgos, se puede deducir que los funcionarios del Sector Defensa, en su mayoría, consideraron que el proceso de Reducción de Riesgo es entre malo y regular.</w:t>
      </w:r>
    </w:p>
    <w:p w14:paraId="05E632F6" w14:textId="1D3E2662" w:rsidR="000401B3" w:rsidRPr="00AF3701" w:rsidRDefault="000401B3" w:rsidP="000401B3">
      <w:pPr>
        <w:pStyle w:val="Descripcin"/>
        <w:rPr>
          <w:rFonts w:ascii="Times New Roman" w:eastAsia="Times New Roman" w:hAnsi="Times New Roman" w:cs="Times New Roman"/>
          <w:b/>
          <w:i w:val="0"/>
          <w:color w:val="auto"/>
          <w:sz w:val="24"/>
        </w:rPr>
      </w:pPr>
      <w:bookmarkStart w:id="155" w:name="_2nusc19" w:colFirst="0" w:colLast="0"/>
      <w:bookmarkStart w:id="156" w:name="_Toc116591663"/>
      <w:bookmarkEnd w:id="155"/>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6</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56"/>
    </w:p>
    <w:p w14:paraId="4695EA7F"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Preparación según los funcionarios del Sector Defensa</w:t>
      </w:r>
    </w:p>
    <w:tbl>
      <w:tblPr>
        <w:tblStyle w:val="a4"/>
        <w:tblW w:w="7948"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9"/>
        <w:gridCol w:w="2649"/>
        <w:gridCol w:w="2650"/>
      </w:tblGrid>
      <w:tr w:rsidR="00657D48" w14:paraId="0E9EDFB3" w14:textId="77777777">
        <w:trPr>
          <w:cantSplit/>
          <w:trHeight w:val="593"/>
        </w:trPr>
        <w:tc>
          <w:tcPr>
            <w:tcW w:w="2649" w:type="dxa"/>
            <w:tcBorders>
              <w:top w:val="single" w:sz="4" w:space="0" w:color="000000"/>
              <w:bottom w:val="single" w:sz="4" w:space="0" w:color="000000"/>
            </w:tcBorders>
            <w:shd w:val="clear" w:color="auto" w:fill="auto"/>
            <w:vAlign w:val="center"/>
          </w:tcPr>
          <w:p w14:paraId="0051E4A8"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9" w:type="dxa"/>
            <w:tcBorders>
              <w:top w:val="single" w:sz="4" w:space="0" w:color="000000"/>
              <w:bottom w:val="single" w:sz="4" w:space="0" w:color="000000"/>
            </w:tcBorders>
            <w:shd w:val="clear" w:color="auto" w:fill="auto"/>
            <w:vAlign w:val="center"/>
          </w:tcPr>
          <w:p w14:paraId="60BD9E5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50" w:type="dxa"/>
            <w:tcBorders>
              <w:top w:val="single" w:sz="4" w:space="0" w:color="000000"/>
              <w:bottom w:val="single" w:sz="4" w:space="0" w:color="000000"/>
            </w:tcBorders>
            <w:shd w:val="clear" w:color="auto" w:fill="auto"/>
            <w:vAlign w:val="center"/>
          </w:tcPr>
          <w:p w14:paraId="656FD72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49338204" w14:textId="77777777">
        <w:trPr>
          <w:cantSplit/>
          <w:trHeight w:val="593"/>
        </w:trPr>
        <w:tc>
          <w:tcPr>
            <w:tcW w:w="2649" w:type="dxa"/>
            <w:tcBorders>
              <w:top w:val="single" w:sz="4" w:space="0" w:color="000000"/>
            </w:tcBorders>
            <w:shd w:val="clear" w:color="auto" w:fill="auto"/>
            <w:vAlign w:val="center"/>
          </w:tcPr>
          <w:p w14:paraId="7FF87D4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Malo</w:t>
            </w:r>
          </w:p>
        </w:tc>
        <w:tc>
          <w:tcPr>
            <w:tcW w:w="2649" w:type="dxa"/>
            <w:tcBorders>
              <w:top w:val="single" w:sz="4" w:space="0" w:color="000000"/>
            </w:tcBorders>
            <w:shd w:val="clear" w:color="auto" w:fill="auto"/>
            <w:vAlign w:val="center"/>
          </w:tcPr>
          <w:p w14:paraId="7AEB609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142</w:t>
            </w:r>
          </w:p>
        </w:tc>
        <w:tc>
          <w:tcPr>
            <w:tcW w:w="2650" w:type="dxa"/>
            <w:tcBorders>
              <w:top w:val="single" w:sz="4" w:space="0" w:color="000000"/>
            </w:tcBorders>
            <w:shd w:val="clear" w:color="auto" w:fill="auto"/>
            <w:vAlign w:val="center"/>
          </w:tcPr>
          <w:p w14:paraId="32E6540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37.1%</w:t>
            </w:r>
          </w:p>
        </w:tc>
      </w:tr>
      <w:tr w:rsidR="00657D48" w14:paraId="794E43CB" w14:textId="77777777">
        <w:trPr>
          <w:cantSplit/>
          <w:trHeight w:val="618"/>
        </w:trPr>
        <w:tc>
          <w:tcPr>
            <w:tcW w:w="2649" w:type="dxa"/>
            <w:shd w:val="clear" w:color="auto" w:fill="auto"/>
            <w:vAlign w:val="center"/>
          </w:tcPr>
          <w:p w14:paraId="580FA0A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9" w:type="dxa"/>
            <w:shd w:val="clear" w:color="auto" w:fill="auto"/>
            <w:vAlign w:val="center"/>
          </w:tcPr>
          <w:p w14:paraId="6A921DC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155</w:t>
            </w:r>
          </w:p>
        </w:tc>
        <w:tc>
          <w:tcPr>
            <w:tcW w:w="2650" w:type="dxa"/>
            <w:shd w:val="clear" w:color="auto" w:fill="auto"/>
            <w:vAlign w:val="center"/>
          </w:tcPr>
          <w:p w14:paraId="028D143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40.5%</w:t>
            </w:r>
          </w:p>
        </w:tc>
      </w:tr>
      <w:tr w:rsidR="00657D48" w14:paraId="3191C7E1" w14:textId="77777777">
        <w:trPr>
          <w:cantSplit/>
          <w:trHeight w:val="618"/>
        </w:trPr>
        <w:tc>
          <w:tcPr>
            <w:tcW w:w="2649" w:type="dxa"/>
            <w:shd w:val="clear" w:color="auto" w:fill="auto"/>
            <w:vAlign w:val="center"/>
          </w:tcPr>
          <w:p w14:paraId="4A8BC892"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Bueno</w:t>
            </w:r>
          </w:p>
        </w:tc>
        <w:tc>
          <w:tcPr>
            <w:tcW w:w="2649" w:type="dxa"/>
            <w:shd w:val="clear" w:color="auto" w:fill="auto"/>
            <w:vAlign w:val="center"/>
          </w:tcPr>
          <w:p w14:paraId="6F9A635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86</w:t>
            </w:r>
          </w:p>
        </w:tc>
        <w:tc>
          <w:tcPr>
            <w:tcW w:w="2650" w:type="dxa"/>
            <w:shd w:val="clear" w:color="auto" w:fill="auto"/>
            <w:vAlign w:val="center"/>
          </w:tcPr>
          <w:p w14:paraId="10E162A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22.5%</w:t>
            </w:r>
          </w:p>
        </w:tc>
      </w:tr>
      <w:tr w:rsidR="00657D48" w14:paraId="0F9F0126" w14:textId="77777777">
        <w:trPr>
          <w:cantSplit/>
          <w:trHeight w:val="618"/>
        </w:trPr>
        <w:tc>
          <w:tcPr>
            <w:tcW w:w="2649" w:type="dxa"/>
            <w:shd w:val="clear" w:color="auto" w:fill="auto"/>
            <w:vAlign w:val="center"/>
          </w:tcPr>
          <w:p w14:paraId="40ADD33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9" w:type="dxa"/>
            <w:shd w:val="clear" w:color="auto" w:fill="auto"/>
            <w:vAlign w:val="center"/>
          </w:tcPr>
          <w:p w14:paraId="678C9B9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50" w:type="dxa"/>
            <w:shd w:val="clear" w:color="auto" w:fill="auto"/>
            <w:vAlign w:val="center"/>
          </w:tcPr>
          <w:p w14:paraId="183A4CB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61FBC666" w14:textId="77777777" w:rsidR="00657D48" w:rsidRDefault="003F3EEB">
      <w:pPr>
        <w:spacing w:after="200"/>
        <w:rPr>
          <w:rFonts w:ascii="Times New Roman" w:eastAsia="Times New Roman" w:hAnsi="Times New Roman" w:cs="Times New Roman"/>
          <w:sz w:val="20"/>
          <w:szCs w:val="20"/>
        </w:rPr>
      </w:pPr>
      <w:bookmarkStart w:id="157" w:name="_184mhaj" w:colFirst="0" w:colLast="0"/>
      <w:bookmarkEnd w:id="157"/>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76B5C5FC" w14:textId="2BF322C7"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58" w:name="_Toc116591695"/>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3</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58"/>
    </w:p>
    <w:p w14:paraId="2FC7FF65"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Preparación según los funcionarios del Sector Defensa</w:t>
      </w:r>
      <w:r>
        <w:rPr>
          <w:noProof/>
        </w:rPr>
        <w:drawing>
          <wp:anchor distT="0" distB="0" distL="114300" distR="114300" simplePos="0" relativeHeight="251665408" behindDoc="0" locked="0" layoutInCell="1" hidden="0" allowOverlap="1" wp14:anchorId="23CC0E0E" wp14:editId="6643E6AE">
            <wp:simplePos x="0" y="0"/>
            <wp:positionH relativeFrom="column">
              <wp:posOffset>48896</wp:posOffset>
            </wp:positionH>
            <wp:positionV relativeFrom="paragraph">
              <wp:posOffset>267970</wp:posOffset>
            </wp:positionV>
            <wp:extent cx="4991100" cy="3209925"/>
            <wp:effectExtent l="0" t="0" r="0" b="0"/>
            <wp:wrapTopAndBottom distT="0" dist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l="21384" t="26866" r="23795" b="19399"/>
                    <a:stretch>
                      <a:fillRect/>
                    </a:stretch>
                  </pic:blipFill>
                  <pic:spPr>
                    <a:xfrm>
                      <a:off x="0" y="0"/>
                      <a:ext cx="4991100" cy="3209925"/>
                    </a:xfrm>
                    <a:prstGeom prst="rect">
                      <a:avLst/>
                    </a:prstGeom>
                    <a:ln/>
                  </pic:spPr>
                </pic:pic>
              </a:graphicData>
            </a:graphic>
          </wp:anchor>
        </w:drawing>
      </w:r>
    </w:p>
    <w:p w14:paraId="269D8229"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039728C7" w14:textId="50122EBD"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t xml:space="preserve">Al consultar a los funcionarios del Sector Defensa sobre el proceso de Preparación ante desastres, se encontró que el 37.1% (142) exhortó que </w:t>
      </w:r>
      <w:r w:rsidR="00A17E29">
        <w:rPr>
          <w:rFonts w:ascii="Times New Roman" w:eastAsia="Times New Roman" w:hAnsi="Times New Roman" w:cs="Times New Roman"/>
        </w:rPr>
        <w:t xml:space="preserve">dicho </w:t>
      </w:r>
      <w:r w:rsidR="00A17E29">
        <w:rPr>
          <w:rFonts w:ascii="Times New Roman" w:eastAsia="Times New Roman" w:hAnsi="Times New Roman" w:cs="Times New Roman"/>
        </w:rPr>
        <w:lastRenderedPageBreak/>
        <w:t xml:space="preserve">proceso </w:t>
      </w:r>
      <w:r w:rsidRPr="00B37FF3">
        <w:rPr>
          <w:rFonts w:ascii="Times New Roman" w:eastAsia="Times New Roman" w:hAnsi="Times New Roman" w:cs="Times New Roman"/>
        </w:rPr>
        <w:t>aún es de</w:t>
      </w:r>
      <w:r w:rsidRPr="00B37FF3">
        <w:t xml:space="preserve"> </w:t>
      </w:r>
      <w:r w:rsidRPr="00B37FF3">
        <w:rPr>
          <w:rFonts w:ascii="Times New Roman" w:eastAsia="Times New Roman" w:hAnsi="Times New Roman" w:cs="Times New Roman"/>
        </w:rPr>
        <w:t>nivel malo, 40.5% (155) consideró que es regular y el 22.5% (86) indicó que es bueno. De estos hallazgos, se puede deducir que los funcionarios del Sector Defensa, en su mayoría, consideraron que el proceso de Preparación ante desastres es entre malo y regular.</w:t>
      </w:r>
    </w:p>
    <w:p w14:paraId="2DDC067E" w14:textId="4A1EB105" w:rsidR="000401B3" w:rsidRPr="00AF3701" w:rsidRDefault="000401B3" w:rsidP="000401B3">
      <w:pPr>
        <w:pStyle w:val="Descripcin"/>
        <w:rPr>
          <w:rFonts w:ascii="Times New Roman" w:eastAsia="Times New Roman" w:hAnsi="Times New Roman" w:cs="Times New Roman"/>
          <w:b/>
          <w:i w:val="0"/>
          <w:color w:val="auto"/>
          <w:sz w:val="24"/>
        </w:rPr>
      </w:pPr>
      <w:bookmarkStart w:id="159" w:name="_1302m92" w:colFirst="0" w:colLast="0"/>
      <w:bookmarkStart w:id="160" w:name="_Toc116591664"/>
      <w:bookmarkEnd w:id="159"/>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7</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60"/>
    </w:p>
    <w:p w14:paraId="0C20C9C7"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Respuesta según los funcionarios del Sector Defensa</w:t>
      </w:r>
    </w:p>
    <w:tbl>
      <w:tblPr>
        <w:tblStyle w:val="a5"/>
        <w:tblW w:w="7987" w:type="dxa"/>
        <w:tblInd w:w="0" w:type="dxa"/>
        <w:tblBorders>
          <w:top w:val="single" w:sz="4" w:space="0" w:color="000000"/>
          <w:bottom w:val="single" w:sz="4" w:space="0" w:color="000000"/>
        </w:tblBorders>
        <w:tblLayout w:type="fixed"/>
        <w:tblLook w:val="0000" w:firstRow="0" w:lastRow="0" w:firstColumn="0" w:lastColumn="0" w:noHBand="0" w:noVBand="0"/>
      </w:tblPr>
      <w:tblGrid>
        <w:gridCol w:w="2662"/>
        <w:gridCol w:w="2662"/>
        <w:gridCol w:w="2663"/>
      </w:tblGrid>
      <w:tr w:rsidR="00657D48" w14:paraId="451871C8" w14:textId="77777777">
        <w:trPr>
          <w:cantSplit/>
          <w:trHeight w:val="688"/>
        </w:trPr>
        <w:tc>
          <w:tcPr>
            <w:tcW w:w="2662" w:type="dxa"/>
            <w:tcBorders>
              <w:top w:val="single" w:sz="4" w:space="0" w:color="000000"/>
              <w:bottom w:val="single" w:sz="4" w:space="0" w:color="000000"/>
            </w:tcBorders>
            <w:shd w:val="clear" w:color="auto" w:fill="auto"/>
            <w:vAlign w:val="center"/>
          </w:tcPr>
          <w:p w14:paraId="60E97C15"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62" w:type="dxa"/>
            <w:tcBorders>
              <w:top w:val="single" w:sz="4" w:space="0" w:color="000000"/>
              <w:bottom w:val="single" w:sz="4" w:space="0" w:color="000000"/>
            </w:tcBorders>
            <w:shd w:val="clear" w:color="auto" w:fill="auto"/>
            <w:vAlign w:val="center"/>
          </w:tcPr>
          <w:p w14:paraId="784A129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63" w:type="dxa"/>
            <w:tcBorders>
              <w:top w:val="single" w:sz="4" w:space="0" w:color="000000"/>
              <w:bottom w:val="single" w:sz="4" w:space="0" w:color="000000"/>
            </w:tcBorders>
            <w:shd w:val="clear" w:color="auto" w:fill="auto"/>
            <w:vAlign w:val="center"/>
          </w:tcPr>
          <w:p w14:paraId="4CB7DFF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5D0BCD28" w14:textId="77777777">
        <w:trPr>
          <w:cantSplit/>
          <w:trHeight w:val="688"/>
        </w:trPr>
        <w:tc>
          <w:tcPr>
            <w:tcW w:w="2662" w:type="dxa"/>
            <w:tcBorders>
              <w:top w:val="single" w:sz="4" w:space="0" w:color="000000"/>
            </w:tcBorders>
            <w:shd w:val="clear" w:color="auto" w:fill="auto"/>
            <w:vAlign w:val="center"/>
          </w:tcPr>
          <w:p w14:paraId="55D1D81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Malo</w:t>
            </w:r>
          </w:p>
        </w:tc>
        <w:tc>
          <w:tcPr>
            <w:tcW w:w="2662" w:type="dxa"/>
            <w:tcBorders>
              <w:top w:val="single" w:sz="4" w:space="0" w:color="000000"/>
            </w:tcBorders>
            <w:shd w:val="clear" w:color="auto" w:fill="auto"/>
            <w:vAlign w:val="center"/>
          </w:tcPr>
          <w:p w14:paraId="6E5B499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146</w:t>
            </w:r>
          </w:p>
        </w:tc>
        <w:tc>
          <w:tcPr>
            <w:tcW w:w="2663" w:type="dxa"/>
            <w:tcBorders>
              <w:top w:val="single" w:sz="4" w:space="0" w:color="000000"/>
            </w:tcBorders>
            <w:shd w:val="clear" w:color="auto" w:fill="auto"/>
            <w:vAlign w:val="center"/>
          </w:tcPr>
          <w:p w14:paraId="3F23D76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38.1%</w:t>
            </w:r>
          </w:p>
        </w:tc>
      </w:tr>
      <w:tr w:rsidR="00657D48" w14:paraId="44D1832D" w14:textId="77777777">
        <w:trPr>
          <w:cantSplit/>
          <w:trHeight w:val="716"/>
        </w:trPr>
        <w:tc>
          <w:tcPr>
            <w:tcW w:w="2662" w:type="dxa"/>
            <w:shd w:val="clear" w:color="auto" w:fill="auto"/>
            <w:vAlign w:val="center"/>
          </w:tcPr>
          <w:p w14:paraId="28CA549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62" w:type="dxa"/>
            <w:shd w:val="clear" w:color="auto" w:fill="auto"/>
            <w:vAlign w:val="center"/>
          </w:tcPr>
          <w:p w14:paraId="751C159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144</w:t>
            </w:r>
          </w:p>
        </w:tc>
        <w:tc>
          <w:tcPr>
            <w:tcW w:w="2663" w:type="dxa"/>
            <w:shd w:val="clear" w:color="auto" w:fill="auto"/>
            <w:vAlign w:val="center"/>
          </w:tcPr>
          <w:p w14:paraId="51765CC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37.6%</w:t>
            </w:r>
          </w:p>
        </w:tc>
      </w:tr>
      <w:tr w:rsidR="00657D48" w14:paraId="23C736E5" w14:textId="77777777">
        <w:trPr>
          <w:cantSplit/>
          <w:trHeight w:val="716"/>
        </w:trPr>
        <w:tc>
          <w:tcPr>
            <w:tcW w:w="2662" w:type="dxa"/>
            <w:shd w:val="clear" w:color="auto" w:fill="auto"/>
            <w:vAlign w:val="center"/>
          </w:tcPr>
          <w:p w14:paraId="34A2232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Bueno</w:t>
            </w:r>
          </w:p>
        </w:tc>
        <w:tc>
          <w:tcPr>
            <w:tcW w:w="2662" w:type="dxa"/>
            <w:shd w:val="clear" w:color="auto" w:fill="auto"/>
            <w:vAlign w:val="center"/>
          </w:tcPr>
          <w:p w14:paraId="4B2A4AE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93</w:t>
            </w:r>
          </w:p>
        </w:tc>
        <w:tc>
          <w:tcPr>
            <w:tcW w:w="2663" w:type="dxa"/>
            <w:shd w:val="clear" w:color="auto" w:fill="auto"/>
            <w:vAlign w:val="center"/>
          </w:tcPr>
          <w:p w14:paraId="3089712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24.3%</w:t>
            </w:r>
          </w:p>
        </w:tc>
      </w:tr>
      <w:tr w:rsidR="00657D48" w14:paraId="4AF21BB9" w14:textId="77777777">
        <w:trPr>
          <w:cantSplit/>
          <w:trHeight w:val="716"/>
        </w:trPr>
        <w:tc>
          <w:tcPr>
            <w:tcW w:w="2662" w:type="dxa"/>
            <w:shd w:val="clear" w:color="auto" w:fill="auto"/>
            <w:vAlign w:val="center"/>
          </w:tcPr>
          <w:p w14:paraId="2C91B27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62" w:type="dxa"/>
            <w:shd w:val="clear" w:color="auto" w:fill="auto"/>
            <w:vAlign w:val="center"/>
          </w:tcPr>
          <w:p w14:paraId="6C78D08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63" w:type="dxa"/>
            <w:shd w:val="clear" w:color="auto" w:fill="auto"/>
            <w:vAlign w:val="center"/>
          </w:tcPr>
          <w:p w14:paraId="71E3CB1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451E6C3C" w14:textId="77777777" w:rsidR="00657D48" w:rsidRDefault="003F3EEB">
      <w:pPr>
        <w:spacing w:after="200"/>
        <w:rPr>
          <w:rFonts w:ascii="Times New Roman" w:eastAsia="Times New Roman" w:hAnsi="Times New Roman" w:cs="Times New Roman"/>
          <w:sz w:val="20"/>
          <w:szCs w:val="20"/>
        </w:rPr>
      </w:pPr>
      <w:bookmarkStart w:id="161" w:name="_3s49zyc" w:colFirst="0" w:colLast="0"/>
      <w:bookmarkEnd w:id="161"/>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49350EA7" w14:textId="285A7D1F"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62" w:name="_Toc116591696"/>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4</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62"/>
    </w:p>
    <w:p w14:paraId="016EA56E"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Proceso de Respuesta según los funcionarios del Sector Defensa</w:t>
      </w:r>
      <w:r>
        <w:rPr>
          <w:noProof/>
        </w:rPr>
        <w:drawing>
          <wp:anchor distT="0" distB="0" distL="114300" distR="114300" simplePos="0" relativeHeight="251666432" behindDoc="0" locked="0" layoutInCell="1" hidden="0" allowOverlap="1" wp14:anchorId="55F598DF" wp14:editId="49F67FEC">
            <wp:simplePos x="0" y="0"/>
            <wp:positionH relativeFrom="column">
              <wp:posOffset>29846</wp:posOffset>
            </wp:positionH>
            <wp:positionV relativeFrom="paragraph">
              <wp:posOffset>260350</wp:posOffset>
            </wp:positionV>
            <wp:extent cx="5010150" cy="3152775"/>
            <wp:effectExtent l="0" t="0" r="0" b="0"/>
            <wp:wrapTopAndBottom distT="0" dist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l="20876" t="25659" r="25153" b="21211"/>
                    <a:stretch>
                      <a:fillRect/>
                    </a:stretch>
                  </pic:blipFill>
                  <pic:spPr>
                    <a:xfrm>
                      <a:off x="0" y="0"/>
                      <a:ext cx="5010150" cy="3152775"/>
                    </a:xfrm>
                    <a:prstGeom prst="rect">
                      <a:avLst/>
                    </a:prstGeom>
                    <a:ln/>
                  </pic:spPr>
                </pic:pic>
              </a:graphicData>
            </a:graphic>
          </wp:anchor>
        </w:drawing>
      </w:r>
    </w:p>
    <w:p w14:paraId="0CCD216A"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348798AE" w14:textId="3EB6ACD0"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lastRenderedPageBreak/>
        <w:t>Al consultar a los funcionarios del Sector Defensa sobre el proceso de Respuesta ante desastres, se encontró que el 38.1% (146) exhortó que aún es de nivel malo, 37.6% (144) consideró que es regular y el 24.3% (93) indicó que es bueno. De estos hallazgos, se puede deducir que los funcionarios del Sector Defensa, en su mayoría, perciben que el proceso de Respuesta ante desastres es entre malo y regular.</w:t>
      </w:r>
    </w:p>
    <w:p w14:paraId="50F920E4" w14:textId="77777777" w:rsidR="00657D48" w:rsidRDefault="003F3EEB">
      <w:pPr>
        <w:spacing w:after="200"/>
        <w:jc w:val="both"/>
        <w:rPr>
          <w:rFonts w:ascii="Times New Roman" w:eastAsia="Times New Roman" w:hAnsi="Times New Roman" w:cs="Times New Roman"/>
          <w:b/>
        </w:rPr>
      </w:pPr>
      <w:r>
        <w:rPr>
          <w:rFonts w:ascii="Times New Roman" w:eastAsia="Times New Roman" w:hAnsi="Times New Roman" w:cs="Times New Roman"/>
          <w:b/>
        </w:rPr>
        <w:t>5.1</w:t>
      </w:r>
      <w:r>
        <w:rPr>
          <w:rFonts w:ascii="Times New Roman" w:eastAsia="Times New Roman" w:hAnsi="Times New Roman" w:cs="Times New Roman"/>
          <w:b/>
          <w:color w:val="000000"/>
        </w:rPr>
        <w:t>.2</w:t>
      </w:r>
      <w:r>
        <w:rPr>
          <w:rFonts w:ascii="Times New Roman" w:eastAsia="Times New Roman" w:hAnsi="Times New Roman" w:cs="Times New Roman"/>
          <w:b/>
        </w:rPr>
        <w:t>. Competencias del Sector Defensa</w:t>
      </w:r>
    </w:p>
    <w:p w14:paraId="029AB3B1" w14:textId="178A600D" w:rsidR="000401B3" w:rsidRPr="00AF3701" w:rsidRDefault="000401B3" w:rsidP="000401B3">
      <w:pPr>
        <w:pStyle w:val="Descripcin"/>
        <w:rPr>
          <w:rFonts w:ascii="Times New Roman" w:eastAsia="Times New Roman" w:hAnsi="Times New Roman" w:cs="Times New Roman"/>
          <w:b/>
          <w:i w:val="0"/>
          <w:color w:val="auto"/>
          <w:sz w:val="24"/>
        </w:rPr>
      </w:pPr>
      <w:bookmarkStart w:id="163" w:name="_3mzq4wv" w:colFirst="0" w:colLast="0"/>
      <w:bookmarkStart w:id="164" w:name="_Toc116591665"/>
      <w:bookmarkEnd w:id="163"/>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8</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64"/>
    </w:p>
    <w:p w14:paraId="573C482F"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Competencias del Sector Defensa según los funcionarios del Sector Defensa</w:t>
      </w:r>
    </w:p>
    <w:tbl>
      <w:tblPr>
        <w:tblStyle w:val="a6"/>
        <w:tblW w:w="7948"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9"/>
        <w:gridCol w:w="2649"/>
        <w:gridCol w:w="2650"/>
      </w:tblGrid>
      <w:tr w:rsidR="00657D48" w14:paraId="5A6942E6" w14:textId="77777777">
        <w:trPr>
          <w:cantSplit/>
          <w:trHeight w:val="465"/>
        </w:trPr>
        <w:tc>
          <w:tcPr>
            <w:tcW w:w="2649" w:type="dxa"/>
            <w:tcBorders>
              <w:top w:val="single" w:sz="4" w:space="0" w:color="000000"/>
              <w:bottom w:val="single" w:sz="4" w:space="0" w:color="000000"/>
            </w:tcBorders>
            <w:shd w:val="clear" w:color="auto" w:fill="auto"/>
            <w:vAlign w:val="center"/>
          </w:tcPr>
          <w:p w14:paraId="3EAA298A"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9" w:type="dxa"/>
            <w:tcBorders>
              <w:top w:val="single" w:sz="4" w:space="0" w:color="000000"/>
              <w:bottom w:val="single" w:sz="4" w:space="0" w:color="000000"/>
            </w:tcBorders>
            <w:shd w:val="clear" w:color="auto" w:fill="auto"/>
            <w:vAlign w:val="center"/>
          </w:tcPr>
          <w:p w14:paraId="210858B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50" w:type="dxa"/>
            <w:tcBorders>
              <w:top w:val="single" w:sz="4" w:space="0" w:color="000000"/>
              <w:bottom w:val="single" w:sz="4" w:space="0" w:color="000000"/>
            </w:tcBorders>
            <w:shd w:val="clear" w:color="auto" w:fill="auto"/>
            <w:vAlign w:val="center"/>
          </w:tcPr>
          <w:p w14:paraId="5841410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77AA52DB" w14:textId="77777777">
        <w:trPr>
          <w:cantSplit/>
          <w:trHeight w:val="465"/>
        </w:trPr>
        <w:tc>
          <w:tcPr>
            <w:tcW w:w="2649" w:type="dxa"/>
            <w:tcBorders>
              <w:top w:val="single" w:sz="4" w:space="0" w:color="000000"/>
            </w:tcBorders>
            <w:shd w:val="clear" w:color="auto" w:fill="auto"/>
            <w:vAlign w:val="center"/>
          </w:tcPr>
          <w:p w14:paraId="13384DB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Deficiente</w:t>
            </w:r>
          </w:p>
        </w:tc>
        <w:tc>
          <w:tcPr>
            <w:tcW w:w="2649" w:type="dxa"/>
            <w:tcBorders>
              <w:top w:val="single" w:sz="4" w:space="0" w:color="000000"/>
            </w:tcBorders>
            <w:shd w:val="clear" w:color="auto" w:fill="auto"/>
            <w:vAlign w:val="center"/>
          </w:tcPr>
          <w:p w14:paraId="720A4F5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125</w:t>
            </w:r>
          </w:p>
        </w:tc>
        <w:tc>
          <w:tcPr>
            <w:tcW w:w="2650" w:type="dxa"/>
            <w:tcBorders>
              <w:top w:val="single" w:sz="4" w:space="0" w:color="000000"/>
            </w:tcBorders>
            <w:shd w:val="clear" w:color="auto" w:fill="auto"/>
            <w:vAlign w:val="center"/>
          </w:tcPr>
          <w:p w14:paraId="109322C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32.6%</w:t>
            </w:r>
          </w:p>
        </w:tc>
      </w:tr>
      <w:tr w:rsidR="00657D48" w14:paraId="1FC54C17" w14:textId="77777777">
        <w:trPr>
          <w:cantSplit/>
          <w:trHeight w:val="486"/>
        </w:trPr>
        <w:tc>
          <w:tcPr>
            <w:tcW w:w="2649" w:type="dxa"/>
            <w:shd w:val="clear" w:color="auto" w:fill="auto"/>
            <w:vAlign w:val="center"/>
          </w:tcPr>
          <w:p w14:paraId="5C39939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9" w:type="dxa"/>
            <w:shd w:val="clear" w:color="auto" w:fill="auto"/>
            <w:vAlign w:val="center"/>
          </w:tcPr>
          <w:p w14:paraId="27E007C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149</w:t>
            </w:r>
          </w:p>
        </w:tc>
        <w:tc>
          <w:tcPr>
            <w:tcW w:w="2650" w:type="dxa"/>
            <w:shd w:val="clear" w:color="auto" w:fill="auto"/>
            <w:vAlign w:val="center"/>
          </w:tcPr>
          <w:p w14:paraId="589679A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38.9%</w:t>
            </w:r>
          </w:p>
        </w:tc>
      </w:tr>
      <w:tr w:rsidR="00657D48" w14:paraId="4EBAE0F6" w14:textId="77777777">
        <w:trPr>
          <w:cantSplit/>
          <w:trHeight w:val="486"/>
        </w:trPr>
        <w:tc>
          <w:tcPr>
            <w:tcW w:w="2649" w:type="dxa"/>
            <w:shd w:val="clear" w:color="auto" w:fill="auto"/>
            <w:vAlign w:val="center"/>
          </w:tcPr>
          <w:p w14:paraId="6F04DB1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Eficiente</w:t>
            </w:r>
          </w:p>
        </w:tc>
        <w:tc>
          <w:tcPr>
            <w:tcW w:w="2649" w:type="dxa"/>
            <w:shd w:val="clear" w:color="auto" w:fill="auto"/>
            <w:vAlign w:val="center"/>
          </w:tcPr>
          <w:p w14:paraId="28558E7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109</w:t>
            </w:r>
          </w:p>
        </w:tc>
        <w:tc>
          <w:tcPr>
            <w:tcW w:w="2650" w:type="dxa"/>
            <w:shd w:val="clear" w:color="auto" w:fill="auto"/>
            <w:vAlign w:val="center"/>
          </w:tcPr>
          <w:p w14:paraId="7547635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28.5%</w:t>
            </w:r>
          </w:p>
        </w:tc>
      </w:tr>
      <w:tr w:rsidR="00657D48" w14:paraId="134C1505" w14:textId="77777777">
        <w:trPr>
          <w:cantSplit/>
          <w:trHeight w:val="486"/>
        </w:trPr>
        <w:tc>
          <w:tcPr>
            <w:tcW w:w="2649" w:type="dxa"/>
            <w:shd w:val="clear" w:color="auto" w:fill="auto"/>
            <w:vAlign w:val="center"/>
          </w:tcPr>
          <w:p w14:paraId="72552DF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9" w:type="dxa"/>
            <w:shd w:val="clear" w:color="auto" w:fill="auto"/>
            <w:vAlign w:val="center"/>
          </w:tcPr>
          <w:p w14:paraId="48D1F69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50" w:type="dxa"/>
            <w:shd w:val="clear" w:color="auto" w:fill="auto"/>
            <w:vAlign w:val="center"/>
          </w:tcPr>
          <w:p w14:paraId="39EEA56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68CF27EC" w14:textId="77777777" w:rsidR="00657D48" w:rsidRDefault="003F3EEB">
      <w:pPr>
        <w:spacing w:after="200"/>
        <w:rPr>
          <w:rFonts w:ascii="Times New Roman" w:eastAsia="Times New Roman" w:hAnsi="Times New Roman" w:cs="Times New Roman"/>
          <w:sz w:val="20"/>
          <w:szCs w:val="20"/>
        </w:rPr>
      </w:pPr>
      <w:bookmarkStart w:id="165" w:name="_279ka65" w:colFirst="0" w:colLast="0"/>
      <w:bookmarkEnd w:id="165"/>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430AD0DD" w14:textId="589B01DA"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66" w:name="_Toc116591697"/>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5</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66"/>
    </w:p>
    <w:p w14:paraId="796C3A1C"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Competencias del Sector Defensa según los funcionarios del Sector Defensa</w:t>
      </w:r>
      <w:r>
        <w:rPr>
          <w:noProof/>
        </w:rPr>
        <w:drawing>
          <wp:anchor distT="0" distB="0" distL="114300" distR="114300" simplePos="0" relativeHeight="251667456" behindDoc="0" locked="0" layoutInCell="1" hidden="0" allowOverlap="1" wp14:anchorId="10966391" wp14:editId="74767B8D">
            <wp:simplePos x="0" y="0"/>
            <wp:positionH relativeFrom="column">
              <wp:posOffset>39371</wp:posOffset>
            </wp:positionH>
            <wp:positionV relativeFrom="paragraph">
              <wp:posOffset>212725</wp:posOffset>
            </wp:positionV>
            <wp:extent cx="5000625" cy="3101975"/>
            <wp:effectExtent l="0" t="0" r="0" b="0"/>
            <wp:wrapTopAndBottom distT="0" dist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2"/>
                    <a:srcRect l="21725" t="30791" r="24472" b="16382"/>
                    <a:stretch>
                      <a:fillRect/>
                    </a:stretch>
                  </pic:blipFill>
                  <pic:spPr>
                    <a:xfrm>
                      <a:off x="0" y="0"/>
                      <a:ext cx="5000625" cy="3101975"/>
                    </a:xfrm>
                    <a:prstGeom prst="rect">
                      <a:avLst/>
                    </a:prstGeom>
                    <a:ln/>
                  </pic:spPr>
                </pic:pic>
              </a:graphicData>
            </a:graphic>
          </wp:anchor>
        </w:drawing>
      </w:r>
    </w:p>
    <w:p w14:paraId="47FE4E44"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020D578E" w14:textId="1E988D1A"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lastRenderedPageBreak/>
        <w:t>Al consultar a los funcionarios sobre las competencias del Sector Defensa ante desastres, se evidenció que el 32.6% (125) consideró que dicho rol aún es deficiente, 38.9% (149) precisó que es regular y el 28.5% (109) indicó que es bueno. De estos hallazgos, se puede inferir que los funcionarios del Sector Defensa, en su mayoría, perciben que las competencias del Sector Defensa ante desastres aún son deficiente y regular.</w:t>
      </w:r>
    </w:p>
    <w:p w14:paraId="1B9C02CC" w14:textId="334AA21D" w:rsidR="000401B3" w:rsidRPr="00AF3701" w:rsidRDefault="000401B3" w:rsidP="000401B3">
      <w:pPr>
        <w:pStyle w:val="Descripcin"/>
        <w:rPr>
          <w:rFonts w:ascii="Times New Roman" w:eastAsia="Times New Roman" w:hAnsi="Times New Roman" w:cs="Times New Roman"/>
          <w:b/>
          <w:i w:val="0"/>
          <w:color w:val="auto"/>
          <w:sz w:val="24"/>
        </w:rPr>
      </w:pPr>
      <w:bookmarkStart w:id="167" w:name="_2250f4o" w:colFirst="0" w:colLast="0"/>
      <w:bookmarkStart w:id="168" w:name="_Toc116591666"/>
      <w:bookmarkEnd w:id="167"/>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9</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68"/>
    </w:p>
    <w:p w14:paraId="604F5622"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Socialización según los funcionarios del Sector Defensa</w:t>
      </w:r>
    </w:p>
    <w:tbl>
      <w:tblPr>
        <w:tblStyle w:val="a7"/>
        <w:tblW w:w="7930"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3"/>
        <w:gridCol w:w="2643"/>
        <w:gridCol w:w="2644"/>
      </w:tblGrid>
      <w:tr w:rsidR="00657D48" w14:paraId="6C93819B" w14:textId="77777777">
        <w:trPr>
          <w:cantSplit/>
          <w:trHeight w:val="563"/>
        </w:trPr>
        <w:tc>
          <w:tcPr>
            <w:tcW w:w="2643" w:type="dxa"/>
            <w:tcBorders>
              <w:top w:val="single" w:sz="4" w:space="0" w:color="000000"/>
              <w:bottom w:val="single" w:sz="4" w:space="0" w:color="000000"/>
            </w:tcBorders>
            <w:shd w:val="clear" w:color="auto" w:fill="auto"/>
            <w:vAlign w:val="center"/>
          </w:tcPr>
          <w:p w14:paraId="5EA834FC"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3" w:type="dxa"/>
            <w:tcBorders>
              <w:top w:val="single" w:sz="4" w:space="0" w:color="000000"/>
              <w:bottom w:val="single" w:sz="4" w:space="0" w:color="000000"/>
            </w:tcBorders>
            <w:shd w:val="clear" w:color="auto" w:fill="auto"/>
            <w:vAlign w:val="center"/>
          </w:tcPr>
          <w:p w14:paraId="7605913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44" w:type="dxa"/>
            <w:tcBorders>
              <w:top w:val="single" w:sz="4" w:space="0" w:color="000000"/>
              <w:bottom w:val="single" w:sz="4" w:space="0" w:color="000000"/>
            </w:tcBorders>
            <w:shd w:val="clear" w:color="auto" w:fill="auto"/>
            <w:vAlign w:val="center"/>
          </w:tcPr>
          <w:p w14:paraId="4EA0095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40AA32BE" w14:textId="77777777">
        <w:trPr>
          <w:cantSplit/>
          <w:trHeight w:val="563"/>
        </w:trPr>
        <w:tc>
          <w:tcPr>
            <w:tcW w:w="2643" w:type="dxa"/>
            <w:tcBorders>
              <w:top w:val="single" w:sz="4" w:space="0" w:color="000000"/>
            </w:tcBorders>
            <w:shd w:val="clear" w:color="auto" w:fill="auto"/>
            <w:vAlign w:val="center"/>
          </w:tcPr>
          <w:p w14:paraId="71E0152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Deficiente</w:t>
            </w:r>
          </w:p>
        </w:tc>
        <w:tc>
          <w:tcPr>
            <w:tcW w:w="2643" w:type="dxa"/>
            <w:tcBorders>
              <w:top w:val="single" w:sz="4" w:space="0" w:color="000000"/>
            </w:tcBorders>
            <w:shd w:val="clear" w:color="auto" w:fill="auto"/>
            <w:vAlign w:val="center"/>
          </w:tcPr>
          <w:p w14:paraId="3C99B24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162</w:t>
            </w:r>
          </w:p>
        </w:tc>
        <w:tc>
          <w:tcPr>
            <w:tcW w:w="2644" w:type="dxa"/>
            <w:tcBorders>
              <w:top w:val="single" w:sz="4" w:space="0" w:color="000000"/>
            </w:tcBorders>
            <w:shd w:val="clear" w:color="auto" w:fill="auto"/>
            <w:vAlign w:val="center"/>
          </w:tcPr>
          <w:p w14:paraId="6F58E73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42.3%</w:t>
            </w:r>
          </w:p>
        </w:tc>
      </w:tr>
      <w:tr w:rsidR="00657D48" w14:paraId="4D2C7AD9" w14:textId="77777777">
        <w:trPr>
          <w:cantSplit/>
          <w:trHeight w:val="588"/>
        </w:trPr>
        <w:tc>
          <w:tcPr>
            <w:tcW w:w="2643" w:type="dxa"/>
            <w:shd w:val="clear" w:color="auto" w:fill="auto"/>
            <w:vAlign w:val="center"/>
          </w:tcPr>
          <w:p w14:paraId="5C698B3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3" w:type="dxa"/>
            <w:shd w:val="clear" w:color="auto" w:fill="auto"/>
            <w:vAlign w:val="center"/>
          </w:tcPr>
          <w:p w14:paraId="580FE32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120</w:t>
            </w:r>
          </w:p>
        </w:tc>
        <w:tc>
          <w:tcPr>
            <w:tcW w:w="2644" w:type="dxa"/>
            <w:shd w:val="clear" w:color="auto" w:fill="auto"/>
            <w:vAlign w:val="center"/>
          </w:tcPr>
          <w:p w14:paraId="74892A6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31.3%</w:t>
            </w:r>
          </w:p>
        </w:tc>
      </w:tr>
      <w:tr w:rsidR="00657D48" w14:paraId="1B614FC6" w14:textId="77777777">
        <w:trPr>
          <w:cantSplit/>
          <w:trHeight w:val="588"/>
        </w:trPr>
        <w:tc>
          <w:tcPr>
            <w:tcW w:w="2643" w:type="dxa"/>
            <w:shd w:val="clear" w:color="auto" w:fill="auto"/>
            <w:vAlign w:val="center"/>
          </w:tcPr>
          <w:p w14:paraId="3E71B0F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Eficiente</w:t>
            </w:r>
          </w:p>
        </w:tc>
        <w:tc>
          <w:tcPr>
            <w:tcW w:w="2643" w:type="dxa"/>
            <w:shd w:val="clear" w:color="auto" w:fill="auto"/>
            <w:vAlign w:val="center"/>
          </w:tcPr>
          <w:p w14:paraId="2A9F07A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101</w:t>
            </w:r>
          </w:p>
        </w:tc>
        <w:tc>
          <w:tcPr>
            <w:tcW w:w="2644" w:type="dxa"/>
            <w:shd w:val="clear" w:color="auto" w:fill="auto"/>
            <w:vAlign w:val="center"/>
          </w:tcPr>
          <w:p w14:paraId="31F4E77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26.4%</w:t>
            </w:r>
          </w:p>
        </w:tc>
      </w:tr>
      <w:tr w:rsidR="00657D48" w14:paraId="1D0D32F4" w14:textId="77777777">
        <w:trPr>
          <w:cantSplit/>
          <w:trHeight w:val="588"/>
        </w:trPr>
        <w:tc>
          <w:tcPr>
            <w:tcW w:w="2643" w:type="dxa"/>
            <w:shd w:val="clear" w:color="auto" w:fill="auto"/>
            <w:vAlign w:val="center"/>
          </w:tcPr>
          <w:p w14:paraId="7F3E1C9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3" w:type="dxa"/>
            <w:shd w:val="clear" w:color="auto" w:fill="auto"/>
            <w:vAlign w:val="center"/>
          </w:tcPr>
          <w:p w14:paraId="0CDBDFD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44" w:type="dxa"/>
            <w:shd w:val="clear" w:color="auto" w:fill="auto"/>
            <w:vAlign w:val="center"/>
          </w:tcPr>
          <w:p w14:paraId="6A2809C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1E686B92" w14:textId="77777777" w:rsidR="00657D48" w:rsidRDefault="003F3EEB">
      <w:pPr>
        <w:spacing w:after="200"/>
        <w:rPr>
          <w:rFonts w:ascii="Times New Roman" w:eastAsia="Times New Roman" w:hAnsi="Times New Roman" w:cs="Times New Roman"/>
          <w:sz w:val="20"/>
          <w:szCs w:val="20"/>
        </w:rPr>
      </w:pPr>
      <w:bookmarkStart w:id="169" w:name="_meukdy" w:colFirst="0" w:colLast="0"/>
      <w:bookmarkEnd w:id="169"/>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14FD6941" w14:textId="246A3D50"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70" w:name="_Toc116591698"/>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6</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70"/>
    </w:p>
    <w:p w14:paraId="68271825"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Socialización según los funcionarios del Sector Defensa</w:t>
      </w:r>
      <w:r>
        <w:rPr>
          <w:noProof/>
        </w:rPr>
        <w:drawing>
          <wp:anchor distT="0" distB="0" distL="114300" distR="114300" simplePos="0" relativeHeight="251668480" behindDoc="0" locked="0" layoutInCell="1" hidden="0" allowOverlap="1" wp14:anchorId="006ED42D" wp14:editId="36CE70E1">
            <wp:simplePos x="0" y="0"/>
            <wp:positionH relativeFrom="column">
              <wp:posOffset>1</wp:posOffset>
            </wp:positionH>
            <wp:positionV relativeFrom="paragraph">
              <wp:posOffset>262255</wp:posOffset>
            </wp:positionV>
            <wp:extent cx="5000625" cy="3041015"/>
            <wp:effectExtent l="0" t="0" r="0" b="0"/>
            <wp:wrapTopAndBottom distT="0" distB="0"/>
            <wp:docPr id="1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l="21555" t="24150" r="23964" b="23324"/>
                    <a:stretch>
                      <a:fillRect/>
                    </a:stretch>
                  </pic:blipFill>
                  <pic:spPr>
                    <a:xfrm>
                      <a:off x="0" y="0"/>
                      <a:ext cx="5000625" cy="3041015"/>
                    </a:xfrm>
                    <a:prstGeom prst="rect">
                      <a:avLst/>
                    </a:prstGeom>
                    <a:ln/>
                  </pic:spPr>
                </pic:pic>
              </a:graphicData>
            </a:graphic>
          </wp:anchor>
        </w:drawing>
      </w:r>
    </w:p>
    <w:p w14:paraId="3ED62B4B"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3947ACA5" w14:textId="492D695F"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lastRenderedPageBreak/>
        <w:t>Al consultar a los funcionarios sobre el rol de socialización, se encontró que el 42.3% (162) consideró que dicho rol aún es deficiente, 31.3% (120) precisó que es regular y el 26.4% (101) indicó que es bueno. De estos hallazgos, se puede inferir que los funcionarios del Sector Defensa, en su mayoría, perciben que el rol de socialización ante desastres aún es entre deficiente y regular.</w:t>
      </w:r>
    </w:p>
    <w:p w14:paraId="2B9D2648" w14:textId="112AB66F" w:rsidR="000401B3" w:rsidRPr="00AF3701" w:rsidRDefault="000401B3" w:rsidP="000401B3">
      <w:pPr>
        <w:pStyle w:val="Descripcin"/>
        <w:rPr>
          <w:rFonts w:ascii="Times New Roman" w:eastAsia="Times New Roman" w:hAnsi="Times New Roman" w:cs="Times New Roman"/>
          <w:b/>
          <w:i w:val="0"/>
          <w:color w:val="auto"/>
          <w:sz w:val="24"/>
        </w:rPr>
      </w:pPr>
      <w:bookmarkStart w:id="171" w:name="_haapch" w:colFirst="0" w:colLast="0"/>
      <w:bookmarkStart w:id="172" w:name="_Toc116591667"/>
      <w:bookmarkEnd w:id="171"/>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10</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72"/>
    </w:p>
    <w:p w14:paraId="4252A3ED"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Sensibilización según los funcionarios del Sector Defensa</w:t>
      </w:r>
    </w:p>
    <w:tbl>
      <w:tblPr>
        <w:tblStyle w:val="a8"/>
        <w:tblW w:w="7948"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9"/>
        <w:gridCol w:w="2649"/>
        <w:gridCol w:w="2650"/>
      </w:tblGrid>
      <w:tr w:rsidR="00657D48" w14:paraId="14FFFCCE" w14:textId="77777777">
        <w:trPr>
          <w:cantSplit/>
          <w:trHeight w:val="529"/>
        </w:trPr>
        <w:tc>
          <w:tcPr>
            <w:tcW w:w="2649" w:type="dxa"/>
            <w:tcBorders>
              <w:top w:val="single" w:sz="4" w:space="0" w:color="000000"/>
              <w:bottom w:val="single" w:sz="4" w:space="0" w:color="000000"/>
            </w:tcBorders>
            <w:shd w:val="clear" w:color="auto" w:fill="auto"/>
            <w:vAlign w:val="center"/>
          </w:tcPr>
          <w:p w14:paraId="7767807A"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9" w:type="dxa"/>
            <w:tcBorders>
              <w:top w:val="single" w:sz="4" w:space="0" w:color="000000"/>
              <w:bottom w:val="single" w:sz="4" w:space="0" w:color="000000"/>
            </w:tcBorders>
            <w:shd w:val="clear" w:color="auto" w:fill="auto"/>
            <w:vAlign w:val="center"/>
          </w:tcPr>
          <w:p w14:paraId="58B8D02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50" w:type="dxa"/>
            <w:tcBorders>
              <w:top w:val="single" w:sz="4" w:space="0" w:color="000000"/>
              <w:bottom w:val="single" w:sz="4" w:space="0" w:color="000000"/>
            </w:tcBorders>
            <w:shd w:val="clear" w:color="auto" w:fill="auto"/>
            <w:vAlign w:val="center"/>
          </w:tcPr>
          <w:p w14:paraId="4516C13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41145011" w14:textId="77777777">
        <w:trPr>
          <w:cantSplit/>
          <w:trHeight w:val="529"/>
        </w:trPr>
        <w:tc>
          <w:tcPr>
            <w:tcW w:w="2649" w:type="dxa"/>
            <w:tcBorders>
              <w:top w:val="single" w:sz="4" w:space="0" w:color="000000"/>
            </w:tcBorders>
            <w:shd w:val="clear" w:color="auto" w:fill="auto"/>
            <w:vAlign w:val="center"/>
          </w:tcPr>
          <w:p w14:paraId="3B9234C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Deficiente</w:t>
            </w:r>
          </w:p>
        </w:tc>
        <w:tc>
          <w:tcPr>
            <w:tcW w:w="2649" w:type="dxa"/>
            <w:tcBorders>
              <w:top w:val="single" w:sz="4" w:space="0" w:color="000000"/>
            </w:tcBorders>
            <w:shd w:val="clear" w:color="auto" w:fill="auto"/>
            <w:vAlign w:val="center"/>
          </w:tcPr>
          <w:p w14:paraId="73000DE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147</w:t>
            </w:r>
          </w:p>
        </w:tc>
        <w:tc>
          <w:tcPr>
            <w:tcW w:w="2650" w:type="dxa"/>
            <w:tcBorders>
              <w:top w:val="single" w:sz="4" w:space="0" w:color="000000"/>
            </w:tcBorders>
            <w:shd w:val="clear" w:color="auto" w:fill="auto"/>
            <w:vAlign w:val="center"/>
          </w:tcPr>
          <w:p w14:paraId="642380E2"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38.4%</w:t>
            </w:r>
          </w:p>
        </w:tc>
      </w:tr>
      <w:tr w:rsidR="00657D48" w14:paraId="4946D645" w14:textId="77777777">
        <w:trPr>
          <w:cantSplit/>
          <w:trHeight w:val="552"/>
        </w:trPr>
        <w:tc>
          <w:tcPr>
            <w:tcW w:w="2649" w:type="dxa"/>
            <w:shd w:val="clear" w:color="auto" w:fill="auto"/>
            <w:vAlign w:val="center"/>
          </w:tcPr>
          <w:p w14:paraId="4350809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9" w:type="dxa"/>
            <w:shd w:val="clear" w:color="auto" w:fill="auto"/>
            <w:vAlign w:val="center"/>
          </w:tcPr>
          <w:p w14:paraId="026196E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124</w:t>
            </w:r>
          </w:p>
        </w:tc>
        <w:tc>
          <w:tcPr>
            <w:tcW w:w="2650" w:type="dxa"/>
            <w:shd w:val="clear" w:color="auto" w:fill="auto"/>
            <w:vAlign w:val="center"/>
          </w:tcPr>
          <w:p w14:paraId="74E67C9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32.4%</w:t>
            </w:r>
          </w:p>
        </w:tc>
      </w:tr>
      <w:tr w:rsidR="00657D48" w14:paraId="261B8425" w14:textId="77777777">
        <w:trPr>
          <w:cantSplit/>
          <w:trHeight w:val="552"/>
        </w:trPr>
        <w:tc>
          <w:tcPr>
            <w:tcW w:w="2649" w:type="dxa"/>
            <w:shd w:val="clear" w:color="auto" w:fill="auto"/>
            <w:vAlign w:val="center"/>
          </w:tcPr>
          <w:p w14:paraId="3D96F9F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Eficiente</w:t>
            </w:r>
          </w:p>
        </w:tc>
        <w:tc>
          <w:tcPr>
            <w:tcW w:w="2649" w:type="dxa"/>
            <w:shd w:val="clear" w:color="auto" w:fill="auto"/>
            <w:vAlign w:val="center"/>
          </w:tcPr>
          <w:p w14:paraId="640178D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112</w:t>
            </w:r>
          </w:p>
        </w:tc>
        <w:tc>
          <w:tcPr>
            <w:tcW w:w="2650" w:type="dxa"/>
            <w:shd w:val="clear" w:color="auto" w:fill="auto"/>
            <w:vAlign w:val="center"/>
          </w:tcPr>
          <w:p w14:paraId="2784A0D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29.2%</w:t>
            </w:r>
          </w:p>
        </w:tc>
      </w:tr>
      <w:tr w:rsidR="00657D48" w14:paraId="7C1B570E" w14:textId="77777777">
        <w:trPr>
          <w:cantSplit/>
          <w:trHeight w:val="552"/>
        </w:trPr>
        <w:tc>
          <w:tcPr>
            <w:tcW w:w="2649" w:type="dxa"/>
            <w:shd w:val="clear" w:color="auto" w:fill="auto"/>
            <w:vAlign w:val="center"/>
          </w:tcPr>
          <w:p w14:paraId="08A934B8"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9" w:type="dxa"/>
            <w:shd w:val="clear" w:color="auto" w:fill="auto"/>
            <w:vAlign w:val="center"/>
          </w:tcPr>
          <w:p w14:paraId="5E582FF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50" w:type="dxa"/>
            <w:shd w:val="clear" w:color="auto" w:fill="auto"/>
            <w:vAlign w:val="center"/>
          </w:tcPr>
          <w:p w14:paraId="7833F3C2"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3FE79E69" w14:textId="77777777" w:rsidR="00657D48" w:rsidRDefault="003F3EEB">
      <w:pPr>
        <w:spacing w:after="200"/>
        <w:rPr>
          <w:rFonts w:ascii="Times New Roman" w:eastAsia="Times New Roman" w:hAnsi="Times New Roman" w:cs="Times New Roman"/>
          <w:sz w:val="20"/>
          <w:szCs w:val="20"/>
        </w:rPr>
      </w:pPr>
      <w:bookmarkStart w:id="173" w:name="_36ei31r" w:colFirst="0" w:colLast="0"/>
      <w:bookmarkEnd w:id="173"/>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11706202" w14:textId="71EFD897"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74" w:name="_Toc116591699"/>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7</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74"/>
    </w:p>
    <w:p w14:paraId="3FC3D4C6"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Sensibilización según los funcionarios del Sector Defensa</w:t>
      </w:r>
      <w:r>
        <w:rPr>
          <w:noProof/>
        </w:rPr>
        <w:drawing>
          <wp:anchor distT="0" distB="0" distL="114300" distR="114300" simplePos="0" relativeHeight="251669504" behindDoc="0" locked="0" layoutInCell="1" hidden="0" allowOverlap="1" wp14:anchorId="28CD39DD" wp14:editId="64319538">
            <wp:simplePos x="0" y="0"/>
            <wp:positionH relativeFrom="column">
              <wp:posOffset>39371</wp:posOffset>
            </wp:positionH>
            <wp:positionV relativeFrom="paragraph">
              <wp:posOffset>195580</wp:posOffset>
            </wp:positionV>
            <wp:extent cx="5000625" cy="3131820"/>
            <wp:effectExtent l="0" t="0" r="0" b="0"/>
            <wp:wrapTopAndBottom distT="0" dist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l="21215" t="21131" r="24642" b="24834"/>
                    <a:stretch>
                      <a:fillRect/>
                    </a:stretch>
                  </pic:blipFill>
                  <pic:spPr>
                    <a:xfrm>
                      <a:off x="0" y="0"/>
                      <a:ext cx="5000625" cy="3131820"/>
                    </a:xfrm>
                    <a:prstGeom prst="rect">
                      <a:avLst/>
                    </a:prstGeom>
                    <a:ln/>
                  </pic:spPr>
                </pic:pic>
              </a:graphicData>
            </a:graphic>
          </wp:anchor>
        </w:drawing>
      </w:r>
    </w:p>
    <w:p w14:paraId="56C67FBA"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181EED92" w14:textId="59ABFED3"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t>Al consultar a los funcionarios sobre el rol de sensibilización, se encontró que el 38.4% (147) consideró que dicho rol aún es deficiente, 32.4% (124) precisó que</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es regular y el 29.2% (112) indicó que es eficiente. De estos hallazgos, se puede inferir que los funcionarios del Sector Defensa, en su mayoría, perciben que el rol de sensibilización ante desastres aún es entre deficiente y regular.</w:t>
      </w:r>
    </w:p>
    <w:p w14:paraId="55FE2BB8" w14:textId="3AE450F1" w:rsidR="000401B3" w:rsidRPr="00AF3701" w:rsidRDefault="000401B3" w:rsidP="000401B3">
      <w:pPr>
        <w:pStyle w:val="Descripcin"/>
        <w:rPr>
          <w:rFonts w:ascii="Times New Roman" w:eastAsia="Times New Roman" w:hAnsi="Times New Roman" w:cs="Times New Roman"/>
          <w:b/>
          <w:i w:val="0"/>
          <w:color w:val="auto"/>
          <w:sz w:val="24"/>
        </w:rPr>
      </w:pPr>
      <w:bookmarkStart w:id="175" w:name="_319y80a" w:colFirst="0" w:colLast="0"/>
      <w:bookmarkStart w:id="176" w:name="_Toc116591668"/>
      <w:bookmarkEnd w:id="175"/>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11</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76"/>
    </w:p>
    <w:p w14:paraId="74C8503B"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Implementación según los funcionarios del Sector Defensa</w:t>
      </w:r>
    </w:p>
    <w:tbl>
      <w:tblPr>
        <w:tblStyle w:val="a9"/>
        <w:tblW w:w="7933" w:type="dxa"/>
        <w:tblInd w:w="0" w:type="dxa"/>
        <w:tblBorders>
          <w:top w:val="single" w:sz="4" w:space="0" w:color="000000"/>
          <w:bottom w:val="single" w:sz="4" w:space="0" w:color="000000"/>
        </w:tblBorders>
        <w:tblLayout w:type="fixed"/>
        <w:tblLook w:val="0000" w:firstRow="0" w:lastRow="0" w:firstColumn="0" w:lastColumn="0" w:noHBand="0" w:noVBand="0"/>
      </w:tblPr>
      <w:tblGrid>
        <w:gridCol w:w="2644"/>
        <w:gridCol w:w="2644"/>
        <w:gridCol w:w="2645"/>
      </w:tblGrid>
      <w:tr w:rsidR="00657D48" w14:paraId="6ED0DB14" w14:textId="77777777">
        <w:trPr>
          <w:cantSplit/>
          <w:trHeight w:val="526"/>
        </w:trPr>
        <w:tc>
          <w:tcPr>
            <w:tcW w:w="2644" w:type="dxa"/>
            <w:tcBorders>
              <w:top w:val="single" w:sz="4" w:space="0" w:color="000000"/>
              <w:bottom w:val="single" w:sz="4" w:space="0" w:color="000000"/>
            </w:tcBorders>
            <w:shd w:val="clear" w:color="auto" w:fill="auto"/>
            <w:vAlign w:val="center"/>
          </w:tcPr>
          <w:p w14:paraId="43BAE6A9" w14:textId="77777777" w:rsidR="00657D48" w:rsidRDefault="003F3EE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Niveles</w:t>
            </w:r>
          </w:p>
        </w:tc>
        <w:tc>
          <w:tcPr>
            <w:tcW w:w="2644" w:type="dxa"/>
            <w:tcBorders>
              <w:top w:val="single" w:sz="4" w:space="0" w:color="000000"/>
              <w:bottom w:val="single" w:sz="4" w:space="0" w:color="000000"/>
            </w:tcBorders>
            <w:shd w:val="clear" w:color="auto" w:fill="auto"/>
            <w:vAlign w:val="center"/>
          </w:tcPr>
          <w:p w14:paraId="742FCBB7"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Frecuencia (Fi)</w:t>
            </w:r>
          </w:p>
        </w:tc>
        <w:tc>
          <w:tcPr>
            <w:tcW w:w="2645" w:type="dxa"/>
            <w:tcBorders>
              <w:top w:val="single" w:sz="4" w:space="0" w:color="000000"/>
              <w:bottom w:val="single" w:sz="4" w:space="0" w:color="000000"/>
            </w:tcBorders>
            <w:shd w:val="clear" w:color="auto" w:fill="auto"/>
            <w:vAlign w:val="center"/>
          </w:tcPr>
          <w:p w14:paraId="68A7220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Porcentaje (%)</w:t>
            </w:r>
          </w:p>
        </w:tc>
      </w:tr>
      <w:tr w:rsidR="00657D48" w14:paraId="126CB59C" w14:textId="77777777">
        <w:trPr>
          <w:cantSplit/>
          <w:trHeight w:val="526"/>
        </w:trPr>
        <w:tc>
          <w:tcPr>
            <w:tcW w:w="2644" w:type="dxa"/>
            <w:tcBorders>
              <w:top w:val="single" w:sz="4" w:space="0" w:color="000000"/>
            </w:tcBorders>
            <w:shd w:val="clear" w:color="auto" w:fill="auto"/>
            <w:vAlign w:val="center"/>
          </w:tcPr>
          <w:p w14:paraId="5D71701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Deficiente</w:t>
            </w:r>
          </w:p>
        </w:tc>
        <w:tc>
          <w:tcPr>
            <w:tcW w:w="2644" w:type="dxa"/>
            <w:tcBorders>
              <w:top w:val="single" w:sz="4" w:space="0" w:color="000000"/>
            </w:tcBorders>
            <w:shd w:val="clear" w:color="auto" w:fill="auto"/>
            <w:vAlign w:val="center"/>
          </w:tcPr>
          <w:p w14:paraId="63E737CA"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144</w:t>
            </w:r>
          </w:p>
        </w:tc>
        <w:tc>
          <w:tcPr>
            <w:tcW w:w="2645" w:type="dxa"/>
            <w:tcBorders>
              <w:top w:val="single" w:sz="4" w:space="0" w:color="000000"/>
            </w:tcBorders>
            <w:shd w:val="clear" w:color="auto" w:fill="auto"/>
            <w:vAlign w:val="center"/>
          </w:tcPr>
          <w:p w14:paraId="38543B1E"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37.6%</w:t>
            </w:r>
          </w:p>
        </w:tc>
      </w:tr>
      <w:tr w:rsidR="00657D48" w14:paraId="3997B393" w14:textId="77777777">
        <w:trPr>
          <w:cantSplit/>
          <w:trHeight w:val="549"/>
        </w:trPr>
        <w:tc>
          <w:tcPr>
            <w:tcW w:w="2644" w:type="dxa"/>
            <w:shd w:val="clear" w:color="auto" w:fill="auto"/>
            <w:vAlign w:val="center"/>
          </w:tcPr>
          <w:p w14:paraId="6F7FCEA0"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Regular</w:t>
            </w:r>
          </w:p>
        </w:tc>
        <w:tc>
          <w:tcPr>
            <w:tcW w:w="2644" w:type="dxa"/>
            <w:shd w:val="clear" w:color="auto" w:fill="auto"/>
            <w:vAlign w:val="center"/>
          </w:tcPr>
          <w:p w14:paraId="1526CFB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164</w:t>
            </w:r>
          </w:p>
        </w:tc>
        <w:tc>
          <w:tcPr>
            <w:tcW w:w="2645" w:type="dxa"/>
            <w:shd w:val="clear" w:color="auto" w:fill="auto"/>
            <w:vAlign w:val="center"/>
          </w:tcPr>
          <w:p w14:paraId="0CFBF94D"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42.8%</w:t>
            </w:r>
          </w:p>
        </w:tc>
      </w:tr>
      <w:tr w:rsidR="00657D48" w14:paraId="6145E21E" w14:textId="77777777">
        <w:trPr>
          <w:cantSplit/>
          <w:trHeight w:val="549"/>
        </w:trPr>
        <w:tc>
          <w:tcPr>
            <w:tcW w:w="2644" w:type="dxa"/>
            <w:shd w:val="clear" w:color="auto" w:fill="auto"/>
            <w:vAlign w:val="center"/>
          </w:tcPr>
          <w:p w14:paraId="0BD0D583"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Eficiente</w:t>
            </w:r>
          </w:p>
        </w:tc>
        <w:tc>
          <w:tcPr>
            <w:tcW w:w="2644" w:type="dxa"/>
            <w:shd w:val="clear" w:color="auto" w:fill="auto"/>
            <w:vAlign w:val="center"/>
          </w:tcPr>
          <w:p w14:paraId="659BC48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75</w:t>
            </w:r>
          </w:p>
        </w:tc>
        <w:tc>
          <w:tcPr>
            <w:tcW w:w="2645" w:type="dxa"/>
            <w:shd w:val="clear" w:color="auto" w:fill="auto"/>
            <w:vAlign w:val="center"/>
          </w:tcPr>
          <w:p w14:paraId="23CF42E4"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19.6%</w:t>
            </w:r>
          </w:p>
        </w:tc>
      </w:tr>
      <w:tr w:rsidR="00657D48" w14:paraId="096F7DB8" w14:textId="77777777">
        <w:trPr>
          <w:cantSplit/>
          <w:trHeight w:val="549"/>
        </w:trPr>
        <w:tc>
          <w:tcPr>
            <w:tcW w:w="2644" w:type="dxa"/>
            <w:shd w:val="clear" w:color="auto" w:fill="auto"/>
            <w:vAlign w:val="center"/>
          </w:tcPr>
          <w:p w14:paraId="5100891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644" w:type="dxa"/>
            <w:shd w:val="clear" w:color="auto" w:fill="auto"/>
            <w:vAlign w:val="center"/>
          </w:tcPr>
          <w:p w14:paraId="1C9727C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2645" w:type="dxa"/>
            <w:shd w:val="clear" w:color="auto" w:fill="auto"/>
            <w:vAlign w:val="center"/>
          </w:tcPr>
          <w:p w14:paraId="6DDE6FA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100.0%</w:t>
            </w:r>
          </w:p>
        </w:tc>
      </w:tr>
    </w:tbl>
    <w:p w14:paraId="1536BA1D" w14:textId="77777777" w:rsidR="00657D48" w:rsidRDefault="003F3EEB">
      <w:pPr>
        <w:spacing w:after="200"/>
        <w:rPr>
          <w:rFonts w:ascii="Times New Roman" w:eastAsia="Times New Roman" w:hAnsi="Times New Roman" w:cs="Times New Roman"/>
          <w:sz w:val="20"/>
          <w:szCs w:val="20"/>
        </w:rPr>
      </w:pPr>
      <w:bookmarkStart w:id="177" w:name="_1ljsd9k" w:colFirst="0" w:colLast="0"/>
      <w:bookmarkEnd w:id="177"/>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641158F8" w14:textId="6B91AAF7"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78" w:name="_Toc116591700"/>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8</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78"/>
    </w:p>
    <w:p w14:paraId="4CFD4E83"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Implementación según los funcionarios del Sector Defensa</w:t>
      </w:r>
    </w:p>
    <w:p w14:paraId="2CB9D57A" w14:textId="77777777" w:rsidR="00657D48" w:rsidRDefault="003F3EEB">
      <w:pPr>
        <w:spacing w:after="0" w:line="240" w:lineRule="auto"/>
        <w:rPr>
          <w:rFonts w:ascii="Times New Roman" w:eastAsia="Times New Roman" w:hAnsi="Times New Roman" w:cs="Times New Roman"/>
          <w:i/>
        </w:rPr>
      </w:pPr>
      <w:r>
        <w:rPr>
          <w:noProof/>
        </w:rPr>
        <w:drawing>
          <wp:inline distT="0" distB="0" distL="0" distR="0" wp14:anchorId="5D367F8D" wp14:editId="0EC827E1">
            <wp:extent cx="5032584" cy="3237279"/>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l="22403" t="26263" r="25153" b="20606"/>
                    <a:stretch>
                      <a:fillRect/>
                    </a:stretch>
                  </pic:blipFill>
                  <pic:spPr>
                    <a:xfrm>
                      <a:off x="0" y="0"/>
                      <a:ext cx="5032584" cy="3237279"/>
                    </a:xfrm>
                    <a:prstGeom prst="rect">
                      <a:avLst/>
                    </a:prstGeom>
                    <a:ln/>
                  </pic:spPr>
                </pic:pic>
              </a:graphicData>
            </a:graphic>
          </wp:inline>
        </w:drawing>
      </w:r>
    </w:p>
    <w:p w14:paraId="703F73A6"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i/>
          <w:sz w:val="20"/>
          <w:szCs w:val="20"/>
        </w:rPr>
        <w:t>Nota.</w:t>
      </w:r>
      <w:r>
        <w:rPr>
          <w:rFonts w:ascii="Times New Roman" w:eastAsia="Times New Roman" w:hAnsi="Times New Roman" w:cs="Times New Roman"/>
          <w:sz w:val="20"/>
          <w:szCs w:val="20"/>
        </w:rPr>
        <w:t xml:space="preserv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Datos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obtenidos de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encuesta.</w:t>
      </w:r>
    </w:p>
    <w:p w14:paraId="4D448856" w14:textId="35CF62EA" w:rsidR="00657D48" w:rsidRDefault="00B37FF3">
      <w:pPr>
        <w:spacing w:after="200"/>
        <w:ind w:firstLine="567"/>
        <w:jc w:val="both"/>
        <w:rPr>
          <w:rFonts w:ascii="Times New Roman" w:eastAsia="Times New Roman" w:hAnsi="Times New Roman" w:cs="Times New Roman"/>
        </w:rPr>
      </w:pPr>
      <w:r w:rsidRPr="00B37FF3">
        <w:rPr>
          <w:rFonts w:ascii="Times New Roman" w:eastAsia="Times New Roman" w:hAnsi="Times New Roman" w:cs="Times New Roman"/>
        </w:rPr>
        <w:t>Al consultar a los funcionarios sobre la implementación ante desastres, se evidenció que el 37.6% (144) estimó que aún es deficiente, 42.8% (164) precisó que es regular y el 19.6% (75) indicó que es eficiente. De estos hallazgos, se puede</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inferir que los funcionarios del Sector Defensa, en su mayoría, perciben que la implementación del Sector Defensa ante desastres es entre deficiente y regular.</w:t>
      </w:r>
    </w:p>
    <w:p w14:paraId="592F2DC6" w14:textId="3385F9B5" w:rsidR="00657D48" w:rsidRPr="00F903C1" w:rsidRDefault="003F3EEB" w:rsidP="00F903C1">
      <w:pPr>
        <w:pStyle w:val="Ttulo1"/>
        <w:jc w:val="left"/>
      </w:pPr>
      <w:bookmarkStart w:id="179" w:name="_Toc117518945"/>
      <w:r w:rsidRPr="00F903C1">
        <w:rPr>
          <w:color w:val="000000"/>
        </w:rPr>
        <w:t>5.2. Contrastación de hipótesis</w:t>
      </w:r>
      <w:bookmarkEnd w:id="179"/>
    </w:p>
    <w:p w14:paraId="6A2189F9" w14:textId="4582B3D7" w:rsidR="000401B3" w:rsidRPr="00AF3701" w:rsidRDefault="000401B3" w:rsidP="000401B3">
      <w:pPr>
        <w:pStyle w:val="Descripcin"/>
        <w:rPr>
          <w:rFonts w:ascii="Times New Roman" w:eastAsia="Times New Roman" w:hAnsi="Times New Roman" w:cs="Times New Roman"/>
          <w:b/>
          <w:i w:val="0"/>
          <w:color w:val="auto"/>
          <w:sz w:val="24"/>
        </w:rPr>
      </w:pPr>
      <w:bookmarkStart w:id="180" w:name="_1gf8i83" w:colFirst="0" w:colLast="0"/>
      <w:bookmarkStart w:id="181" w:name="_Toc116591669"/>
      <w:bookmarkEnd w:id="180"/>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12</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81"/>
    </w:p>
    <w:tbl>
      <w:tblPr>
        <w:tblStyle w:val="aa"/>
        <w:tblpPr w:leftFromText="141" w:rightFromText="141" w:vertAnchor="page" w:horzAnchor="margin" w:tblpY="4173"/>
        <w:tblW w:w="7841" w:type="dxa"/>
        <w:tblInd w:w="0" w:type="dxa"/>
        <w:tblBorders>
          <w:top w:val="single" w:sz="4" w:space="0" w:color="000000"/>
          <w:bottom w:val="single" w:sz="4" w:space="0" w:color="000000"/>
        </w:tblBorders>
        <w:tblLayout w:type="fixed"/>
        <w:tblLook w:val="0000" w:firstRow="0" w:lastRow="0" w:firstColumn="0" w:lastColumn="0" w:noHBand="0" w:noVBand="0"/>
      </w:tblPr>
      <w:tblGrid>
        <w:gridCol w:w="3354"/>
        <w:gridCol w:w="1677"/>
        <w:gridCol w:w="1404"/>
        <w:gridCol w:w="1406"/>
      </w:tblGrid>
      <w:tr w:rsidR="000401B3" w14:paraId="6C8C515B" w14:textId="77777777" w:rsidTr="000401B3">
        <w:trPr>
          <w:cantSplit/>
          <w:trHeight w:val="366"/>
        </w:trPr>
        <w:tc>
          <w:tcPr>
            <w:tcW w:w="3354" w:type="dxa"/>
            <w:vMerge w:val="restart"/>
            <w:tcBorders>
              <w:top w:val="single" w:sz="4" w:space="0" w:color="000000"/>
              <w:bottom w:val="nil"/>
            </w:tcBorders>
            <w:shd w:val="clear" w:color="auto" w:fill="auto"/>
            <w:vAlign w:val="bottom"/>
          </w:tcPr>
          <w:p w14:paraId="301F0EC6" w14:textId="77777777" w:rsidR="000401B3" w:rsidRDefault="000401B3" w:rsidP="000401B3">
            <w:pPr>
              <w:spacing w:after="0" w:line="240" w:lineRule="auto"/>
              <w:rPr>
                <w:rFonts w:ascii="Times New Roman" w:eastAsia="Times New Roman" w:hAnsi="Times New Roman" w:cs="Times New Roman"/>
                <w:sz w:val="20"/>
                <w:szCs w:val="20"/>
              </w:rPr>
            </w:pPr>
          </w:p>
        </w:tc>
        <w:tc>
          <w:tcPr>
            <w:tcW w:w="4487" w:type="dxa"/>
            <w:gridSpan w:val="3"/>
            <w:tcBorders>
              <w:top w:val="single" w:sz="4" w:space="0" w:color="000000"/>
              <w:bottom w:val="nil"/>
            </w:tcBorders>
            <w:shd w:val="clear" w:color="auto" w:fill="auto"/>
            <w:vAlign w:val="bottom"/>
          </w:tcPr>
          <w:p w14:paraId="32867D93"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Kolmogorov-Smirnov</w:t>
            </w:r>
          </w:p>
        </w:tc>
      </w:tr>
      <w:tr w:rsidR="000401B3" w14:paraId="77255CB7" w14:textId="77777777" w:rsidTr="000401B3">
        <w:trPr>
          <w:cantSplit/>
          <w:trHeight w:val="366"/>
        </w:trPr>
        <w:tc>
          <w:tcPr>
            <w:tcW w:w="3354" w:type="dxa"/>
            <w:vMerge/>
            <w:tcBorders>
              <w:top w:val="single" w:sz="4" w:space="0" w:color="000000"/>
              <w:bottom w:val="nil"/>
            </w:tcBorders>
            <w:shd w:val="clear" w:color="auto" w:fill="auto"/>
            <w:vAlign w:val="bottom"/>
          </w:tcPr>
          <w:p w14:paraId="5E1A11E8" w14:textId="77777777" w:rsidR="000401B3" w:rsidRDefault="000401B3" w:rsidP="000401B3">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77" w:type="dxa"/>
            <w:tcBorders>
              <w:top w:val="nil"/>
              <w:bottom w:val="single" w:sz="4" w:space="0" w:color="000000"/>
            </w:tcBorders>
            <w:shd w:val="clear" w:color="auto" w:fill="auto"/>
            <w:vAlign w:val="center"/>
          </w:tcPr>
          <w:p w14:paraId="292DE93E"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Estadístico</w:t>
            </w:r>
          </w:p>
        </w:tc>
        <w:tc>
          <w:tcPr>
            <w:tcW w:w="1404" w:type="dxa"/>
            <w:tcBorders>
              <w:top w:val="nil"/>
              <w:bottom w:val="single" w:sz="4" w:space="0" w:color="000000"/>
            </w:tcBorders>
            <w:shd w:val="clear" w:color="auto" w:fill="auto"/>
            <w:vAlign w:val="center"/>
          </w:tcPr>
          <w:p w14:paraId="6159C1F1"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gl</w:t>
            </w:r>
          </w:p>
        </w:tc>
        <w:tc>
          <w:tcPr>
            <w:tcW w:w="1405" w:type="dxa"/>
            <w:tcBorders>
              <w:top w:val="nil"/>
              <w:bottom w:val="single" w:sz="4" w:space="0" w:color="000000"/>
            </w:tcBorders>
            <w:shd w:val="clear" w:color="auto" w:fill="auto"/>
            <w:vAlign w:val="center"/>
          </w:tcPr>
          <w:p w14:paraId="4B723343"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Sig.</w:t>
            </w:r>
          </w:p>
        </w:tc>
      </w:tr>
      <w:tr w:rsidR="000401B3" w14:paraId="09743FBF" w14:textId="77777777" w:rsidTr="000401B3">
        <w:trPr>
          <w:cantSplit/>
          <w:trHeight w:val="366"/>
        </w:trPr>
        <w:tc>
          <w:tcPr>
            <w:tcW w:w="3354" w:type="dxa"/>
            <w:tcBorders>
              <w:top w:val="single" w:sz="4" w:space="0" w:color="000000"/>
            </w:tcBorders>
            <w:shd w:val="clear" w:color="auto" w:fill="auto"/>
          </w:tcPr>
          <w:p w14:paraId="6F62CE57"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Gestión</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 del Riesgo de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Desastres</w:t>
            </w:r>
          </w:p>
        </w:tc>
        <w:tc>
          <w:tcPr>
            <w:tcW w:w="1677" w:type="dxa"/>
            <w:tcBorders>
              <w:top w:val="single" w:sz="4" w:space="0" w:color="000000"/>
            </w:tcBorders>
            <w:shd w:val="clear" w:color="auto" w:fill="auto"/>
            <w:vAlign w:val="center"/>
          </w:tcPr>
          <w:p w14:paraId="3C92D52B"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0.218</w:t>
            </w:r>
          </w:p>
        </w:tc>
        <w:tc>
          <w:tcPr>
            <w:tcW w:w="1404" w:type="dxa"/>
            <w:tcBorders>
              <w:top w:val="single" w:sz="4" w:space="0" w:color="000000"/>
            </w:tcBorders>
            <w:shd w:val="clear" w:color="auto" w:fill="auto"/>
            <w:vAlign w:val="center"/>
          </w:tcPr>
          <w:p w14:paraId="6808AC4F"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tcBorders>
              <w:top w:val="single" w:sz="4" w:space="0" w:color="000000"/>
            </w:tcBorders>
            <w:shd w:val="clear" w:color="auto" w:fill="auto"/>
            <w:vAlign w:val="center"/>
          </w:tcPr>
          <w:p w14:paraId="2FC73CCD"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1ABF633E" w14:textId="77777777" w:rsidTr="000401B3">
        <w:trPr>
          <w:cantSplit/>
          <w:trHeight w:val="366"/>
        </w:trPr>
        <w:tc>
          <w:tcPr>
            <w:tcW w:w="3354" w:type="dxa"/>
            <w:shd w:val="clear" w:color="auto" w:fill="auto"/>
          </w:tcPr>
          <w:p w14:paraId="4BBE2980"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Competencias del Sector Defensa</w:t>
            </w:r>
          </w:p>
        </w:tc>
        <w:tc>
          <w:tcPr>
            <w:tcW w:w="1677" w:type="dxa"/>
            <w:shd w:val="clear" w:color="auto" w:fill="auto"/>
            <w:vAlign w:val="center"/>
          </w:tcPr>
          <w:p w14:paraId="594AE64B"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0.216</w:t>
            </w:r>
          </w:p>
        </w:tc>
        <w:tc>
          <w:tcPr>
            <w:tcW w:w="1404" w:type="dxa"/>
            <w:shd w:val="clear" w:color="auto" w:fill="auto"/>
            <w:vAlign w:val="center"/>
          </w:tcPr>
          <w:p w14:paraId="2971C070"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0BF03F77"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688E0F24" w14:textId="77777777" w:rsidTr="000401B3">
        <w:trPr>
          <w:cantSplit/>
          <w:trHeight w:val="366"/>
        </w:trPr>
        <w:tc>
          <w:tcPr>
            <w:tcW w:w="3354" w:type="dxa"/>
            <w:shd w:val="clear" w:color="auto" w:fill="auto"/>
          </w:tcPr>
          <w:p w14:paraId="3B4EFF0A"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Reducción de Riesgo</w:t>
            </w:r>
          </w:p>
        </w:tc>
        <w:tc>
          <w:tcPr>
            <w:tcW w:w="1677" w:type="dxa"/>
            <w:shd w:val="clear" w:color="auto" w:fill="auto"/>
            <w:vAlign w:val="center"/>
          </w:tcPr>
          <w:p w14:paraId="609B0157"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0.242</w:t>
            </w:r>
          </w:p>
        </w:tc>
        <w:tc>
          <w:tcPr>
            <w:tcW w:w="1404" w:type="dxa"/>
            <w:shd w:val="clear" w:color="auto" w:fill="auto"/>
            <w:vAlign w:val="center"/>
          </w:tcPr>
          <w:p w14:paraId="358F5739"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5711FFC5"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1130FD62" w14:textId="77777777" w:rsidTr="000401B3">
        <w:trPr>
          <w:cantSplit/>
          <w:trHeight w:val="366"/>
        </w:trPr>
        <w:tc>
          <w:tcPr>
            <w:tcW w:w="3354" w:type="dxa"/>
            <w:shd w:val="clear" w:color="auto" w:fill="auto"/>
          </w:tcPr>
          <w:p w14:paraId="2CE7CB78"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Preparación</w:t>
            </w:r>
          </w:p>
        </w:tc>
        <w:tc>
          <w:tcPr>
            <w:tcW w:w="1677" w:type="dxa"/>
            <w:shd w:val="clear" w:color="auto" w:fill="auto"/>
            <w:vAlign w:val="center"/>
          </w:tcPr>
          <w:p w14:paraId="537589F1"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0.241</w:t>
            </w:r>
          </w:p>
        </w:tc>
        <w:tc>
          <w:tcPr>
            <w:tcW w:w="1404" w:type="dxa"/>
            <w:shd w:val="clear" w:color="auto" w:fill="auto"/>
            <w:vAlign w:val="center"/>
          </w:tcPr>
          <w:p w14:paraId="5F39CA1A"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470B2255"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5906FA68" w14:textId="77777777" w:rsidTr="000401B3">
        <w:trPr>
          <w:cantSplit/>
          <w:trHeight w:val="366"/>
        </w:trPr>
        <w:tc>
          <w:tcPr>
            <w:tcW w:w="3354" w:type="dxa"/>
            <w:shd w:val="clear" w:color="auto" w:fill="auto"/>
          </w:tcPr>
          <w:p w14:paraId="1F755EA9"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Respuesta</w:t>
            </w:r>
          </w:p>
        </w:tc>
        <w:tc>
          <w:tcPr>
            <w:tcW w:w="1677" w:type="dxa"/>
            <w:shd w:val="clear" w:color="auto" w:fill="auto"/>
            <w:vAlign w:val="center"/>
          </w:tcPr>
          <w:p w14:paraId="74BD4CDD"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0.247</w:t>
            </w:r>
          </w:p>
        </w:tc>
        <w:tc>
          <w:tcPr>
            <w:tcW w:w="1404" w:type="dxa"/>
            <w:shd w:val="clear" w:color="auto" w:fill="auto"/>
            <w:vAlign w:val="center"/>
          </w:tcPr>
          <w:p w14:paraId="1D3AA177"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6D510A59"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0BFC0448" w14:textId="77777777" w:rsidTr="000401B3">
        <w:trPr>
          <w:cantSplit/>
          <w:trHeight w:val="366"/>
        </w:trPr>
        <w:tc>
          <w:tcPr>
            <w:tcW w:w="3354" w:type="dxa"/>
            <w:shd w:val="clear" w:color="auto" w:fill="auto"/>
          </w:tcPr>
          <w:p w14:paraId="7BC14E34"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Socialización</w:t>
            </w:r>
          </w:p>
        </w:tc>
        <w:tc>
          <w:tcPr>
            <w:tcW w:w="1677" w:type="dxa"/>
            <w:shd w:val="clear" w:color="auto" w:fill="auto"/>
            <w:vAlign w:val="center"/>
          </w:tcPr>
          <w:p w14:paraId="41E22CB5"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0.272</w:t>
            </w:r>
          </w:p>
        </w:tc>
        <w:tc>
          <w:tcPr>
            <w:tcW w:w="1404" w:type="dxa"/>
            <w:shd w:val="clear" w:color="auto" w:fill="auto"/>
            <w:vAlign w:val="center"/>
          </w:tcPr>
          <w:p w14:paraId="1CD9F37F"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705F1D82"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6F852865" w14:textId="77777777" w:rsidTr="000401B3">
        <w:trPr>
          <w:cantSplit/>
          <w:trHeight w:val="366"/>
        </w:trPr>
        <w:tc>
          <w:tcPr>
            <w:tcW w:w="3354" w:type="dxa"/>
            <w:shd w:val="clear" w:color="auto" w:fill="auto"/>
          </w:tcPr>
          <w:p w14:paraId="5E3D01F7"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Sensibilización</w:t>
            </w:r>
          </w:p>
        </w:tc>
        <w:tc>
          <w:tcPr>
            <w:tcW w:w="1677" w:type="dxa"/>
            <w:shd w:val="clear" w:color="auto" w:fill="auto"/>
            <w:vAlign w:val="center"/>
          </w:tcPr>
          <w:p w14:paraId="65814954"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0.250</w:t>
            </w:r>
          </w:p>
        </w:tc>
        <w:tc>
          <w:tcPr>
            <w:tcW w:w="1404" w:type="dxa"/>
            <w:shd w:val="clear" w:color="auto" w:fill="auto"/>
            <w:vAlign w:val="center"/>
          </w:tcPr>
          <w:p w14:paraId="2BE70B3C"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59A6CFF7"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0401B3" w14:paraId="17FAA06B" w14:textId="77777777" w:rsidTr="000401B3">
        <w:trPr>
          <w:cantSplit/>
          <w:trHeight w:val="366"/>
        </w:trPr>
        <w:tc>
          <w:tcPr>
            <w:tcW w:w="3354" w:type="dxa"/>
            <w:shd w:val="clear" w:color="auto" w:fill="auto"/>
          </w:tcPr>
          <w:p w14:paraId="626B9995" w14:textId="77777777" w:rsidR="000401B3" w:rsidRDefault="000401B3" w:rsidP="000401B3">
            <w:pPr>
              <w:spacing w:after="0"/>
              <w:ind w:left="60" w:right="60"/>
              <w:rPr>
                <w:rFonts w:ascii="Times New Roman" w:eastAsia="Times New Roman" w:hAnsi="Times New Roman" w:cs="Times New Roman"/>
                <w:sz w:val="20"/>
                <w:szCs w:val="20"/>
              </w:rPr>
            </w:pPr>
            <w:r>
              <w:rPr>
                <w:rFonts w:ascii="Times New Roman" w:eastAsia="Times New Roman" w:hAnsi="Times New Roman" w:cs="Times New Roman"/>
                <w:sz w:val="20"/>
                <w:szCs w:val="20"/>
              </w:rPr>
              <w:t>Implementación</w:t>
            </w:r>
          </w:p>
        </w:tc>
        <w:tc>
          <w:tcPr>
            <w:tcW w:w="1677" w:type="dxa"/>
            <w:shd w:val="clear" w:color="auto" w:fill="auto"/>
            <w:vAlign w:val="center"/>
          </w:tcPr>
          <w:p w14:paraId="54EFE2BD"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0.244</w:t>
            </w:r>
          </w:p>
        </w:tc>
        <w:tc>
          <w:tcPr>
            <w:tcW w:w="1404" w:type="dxa"/>
            <w:shd w:val="clear" w:color="auto" w:fill="auto"/>
            <w:vAlign w:val="center"/>
          </w:tcPr>
          <w:p w14:paraId="11DA3EEF"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c>
          <w:tcPr>
            <w:tcW w:w="1405" w:type="dxa"/>
            <w:shd w:val="clear" w:color="auto" w:fill="auto"/>
            <w:vAlign w:val="center"/>
          </w:tcPr>
          <w:p w14:paraId="7CAD1B3B" w14:textId="77777777" w:rsidR="000401B3" w:rsidRDefault="000401B3" w:rsidP="000401B3">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bl>
    <w:p w14:paraId="6CE8BBD2" w14:textId="77777777" w:rsidR="00657D48" w:rsidRDefault="003F3EEB" w:rsidP="000401B3">
      <w:pPr>
        <w:tabs>
          <w:tab w:val="left" w:pos="8222"/>
        </w:tabs>
        <w:spacing w:after="0"/>
        <w:jc w:val="both"/>
        <w:rPr>
          <w:rFonts w:ascii="Times New Roman" w:eastAsia="Times New Roman" w:hAnsi="Times New Roman" w:cs="Times New Roman"/>
          <w:b/>
          <w:i/>
        </w:rPr>
      </w:pPr>
      <w:r>
        <w:rPr>
          <w:rFonts w:ascii="Times New Roman" w:eastAsia="Times New Roman" w:hAnsi="Times New Roman" w:cs="Times New Roman"/>
          <w:i/>
        </w:rPr>
        <w:t>Prueba de normalidad de las variables</w:t>
      </w:r>
    </w:p>
    <w:p w14:paraId="377A482C" w14:textId="77777777" w:rsidR="00657D48" w:rsidRDefault="003F3EEB">
      <w:pPr>
        <w:spacing w:after="20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Nota. Gl: Muestra. Sig: Significancia. Se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utilizó la prueba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Kolmogorov-Smirnov porque la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 xml:space="preserve">muestra fue </w:t>
      </w:r>
      <w:r>
        <w:rPr>
          <w:rFonts w:ascii="Times New Roman" w:eastAsia="Times New Roman" w:hAnsi="Times New Roman" w:cs="Times New Roman"/>
          <w:sz w:val="10"/>
          <w:szCs w:val="10"/>
          <w:vertAlign w:val="subscript"/>
        </w:rPr>
        <w:t>5</w:t>
      </w:r>
      <w:r>
        <w:rPr>
          <w:rFonts w:ascii="Times New Roman" w:eastAsia="Times New Roman" w:hAnsi="Times New Roman" w:cs="Times New Roman"/>
          <w:sz w:val="20"/>
          <w:szCs w:val="20"/>
        </w:rPr>
        <w:t>mayor a 50 unidades.</w:t>
      </w:r>
    </w:p>
    <w:p w14:paraId="692F9494" w14:textId="61FF067F" w:rsidR="00657D48" w:rsidRDefault="00B37FF3">
      <w:pPr>
        <w:tabs>
          <w:tab w:val="left" w:pos="8222"/>
        </w:tabs>
        <w:ind w:firstLine="567"/>
        <w:jc w:val="both"/>
        <w:rPr>
          <w:rFonts w:ascii="Times New Roman" w:eastAsia="Times New Roman" w:hAnsi="Times New Roman" w:cs="Times New Roman"/>
        </w:rPr>
      </w:pPr>
      <w:r w:rsidRPr="00B37FF3">
        <w:rPr>
          <w:rFonts w:ascii="Times New Roman" w:eastAsia="Times New Roman" w:hAnsi="Times New Roman" w:cs="Times New Roman"/>
        </w:rPr>
        <w:t>En la tabla 12, se puede visualizar que las variables obtuvieron un p valor de 0.000&lt;0.050, evidenciando que no existe una distribución normal de los datos. Con ello, se determinó que la contrastación de hipótesis debe realizarse a través de una prueba estadística no paramétrica como es el Rho de Spearman, el cual presenta las siguientes categorías que permitirá interpretar el grado de incidencia entre las variables:</w:t>
      </w:r>
    </w:p>
    <w:p w14:paraId="04E8F7A0" w14:textId="0D0D9BB1" w:rsidR="000401B3" w:rsidRPr="00AF3701" w:rsidRDefault="000401B3" w:rsidP="000401B3">
      <w:pPr>
        <w:pStyle w:val="Descripcin"/>
        <w:spacing w:after="80"/>
        <w:rPr>
          <w:rFonts w:ascii="Times New Roman" w:eastAsia="Times New Roman" w:hAnsi="Times New Roman" w:cs="Times New Roman"/>
          <w:b/>
          <w:i w:val="0"/>
          <w:color w:val="auto"/>
          <w:sz w:val="24"/>
        </w:rPr>
      </w:pPr>
      <w:bookmarkStart w:id="182" w:name="_40ew0vw" w:colFirst="0" w:colLast="0"/>
      <w:bookmarkStart w:id="183" w:name="_Toc116591670"/>
      <w:bookmarkEnd w:id="182"/>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13</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83"/>
    </w:p>
    <w:p w14:paraId="4CF12632" w14:textId="77777777" w:rsidR="00657D48" w:rsidRDefault="003F3EEB">
      <w:pPr>
        <w:pBdr>
          <w:top w:val="nil"/>
          <w:left w:val="nil"/>
          <w:bottom w:val="nil"/>
          <w:right w:val="nil"/>
          <w:between w:val="nil"/>
        </w:pBdr>
        <w:spacing w:after="0" w:line="240" w:lineRule="auto"/>
        <w:rPr>
          <w:rFonts w:ascii="Times New Roman" w:eastAsia="Times New Roman" w:hAnsi="Times New Roman" w:cs="Times New Roman"/>
          <w:i/>
          <w:color w:val="000000"/>
        </w:rPr>
      </w:pPr>
      <w:r>
        <w:rPr>
          <w:rFonts w:ascii="Times New Roman" w:eastAsia="Times New Roman" w:hAnsi="Times New Roman" w:cs="Times New Roman"/>
          <w:i/>
          <w:color w:val="000000"/>
        </w:rPr>
        <w:t>Interpretación del coeficiente de correlación</w:t>
      </w:r>
    </w:p>
    <w:tbl>
      <w:tblPr>
        <w:tblStyle w:val="ab"/>
        <w:tblW w:w="6261" w:type="dxa"/>
        <w:tblInd w:w="0" w:type="dxa"/>
        <w:tblBorders>
          <w:top w:val="single" w:sz="4" w:space="0" w:color="7F7F7F"/>
          <w:left w:val="nil"/>
          <w:bottom w:val="single" w:sz="4" w:space="0" w:color="7F7F7F"/>
          <w:right w:val="nil"/>
          <w:insideH w:val="nil"/>
          <w:insideV w:val="nil"/>
        </w:tblBorders>
        <w:tblLayout w:type="fixed"/>
        <w:tblLook w:val="0400" w:firstRow="0" w:lastRow="0" w:firstColumn="0" w:lastColumn="0" w:noHBand="0" w:noVBand="1"/>
      </w:tblPr>
      <w:tblGrid>
        <w:gridCol w:w="1660"/>
        <w:gridCol w:w="4601"/>
      </w:tblGrid>
      <w:tr w:rsidR="00657D48" w14:paraId="07D805E6" w14:textId="77777777" w:rsidTr="000401B3">
        <w:trPr>
          <w:trHeight w:val="404"/>
        </w:trPr>
        <w:tc>
          <w:tcPr>
            <w:tcW w:w="1660" w:type="dxa"/>
            <w:tcBorders>
              <w:top w:val="single" w:sz="4" w:space="0" w:color="000000"/>
              <w:left w:val="nil"/>
              <w:bottom w:val="single" w:sz="4" w:space="0" w:color="000000"/>
              <w:right w:val="nil"/>
            </w:tcBorders>
            <w:vAlign w:val="center"/>
          </w:tcPr>
          <w:p w14:paraId="5A532687" w14:textId="77777777" w:rsidR="00657D48" w:rsidRDefault="003F3EEB">
            <w:pPr>
              <w:jc w:val="center"/>
              <w:rPr>
                <w:b/>
              </w:rPr>
            </w:pPr>
            <w:r>
              <w:t>Valor</w:t>
            </w:r>
          </w:p>
        </w:tc>
        <w:tc>
          <w:tcPr>
            <w:tcW w:w="4601" w:type="dxa"/>
            <w:tcBorders>
              <w:top w:val="single" w:sz="4" w:space="0" w:color="000000"/>
              <w:left w:val="nil"/>
              <w:bottom w:val="single" w:sz="4" w:space="0" w:color="000000"/>
              <w:right w:val="nil"/>
            </w:tcBorders>
            <w:vAlign w:val="center"/>
          </w:tcPr>
          <w:p w14:paraId="42F9E521" w14:textId="77777777" w:rsidR="00657D48" w:rsidRDefault="003F3EEB">
            <w:pPr>
              <w:rPr>
                <w:b/>
              </w:rPr>
            </w:pPr>
            <w:r>
              <w:rPr>
                <w:b/>
              </w:rPr>
              <w:t>Determinación</w:t>
            </w:r>
          </w:p>
        </w:tc>
      </w:tr>
      <w:tr w:rsidR="00657D48" w14:paraId="1CB8B447" w14:textId="77777777" w:rsidTr="000401B3">
        <w:trPr>
          <w:trHeight w:val="404"/>
        </w:trPr>
        <w:tc>
          <w:tcPr>
            <w:tcW w:w="1660" w:type="dxa"/>
            <w:tcBorders>
              <w:top w:val="single" w:sz="4" w:space="0" w:color="000000"/>
              <w:left w:val="nil"/>
              <w:bottom w:val="nil"/>
              <w:right w:val="nil"/>
            </w:tcBorders>
            <w:vAlign w:val="center"/>
          </w:tcPr>
          <w:p w14:paraId="0566F30B" w14:textId="77777777" w:rsidR="00657D48" w:rsidRDefault="003F3EEB">
            <w:pPr>
              <w:jc w:val="center"/>
              <w:rPr>
                <w:b/>
              </w:rPr>
            </w:pPr>
            <w:r>
              <w:t>+/- 1.00</w:t>
            </w:r>
          </w:p>
        </w:tc>
        <w:tc>
          <w:tcPr>
            <w:tcW w:w="4601" w:type="dxa"/>
            <w:tcBorders>
              <w:top w:val="single" w:sz="4" w:space="0" w:color="000000"/>
              <w:left w:val="nil"/>
              <w:bottom w:val="nil"/>
              <w:right w:val="nil"/>
            </w:tcBorders>
            <w:vAlign w:val="center"/>
          </w:tcPr>
          <w:p w14:paraId="5986A019" w14:textId="787E26E6" w:rsidR="00657D48" w:rsidRDefault="003F3EEB">
            <w:pPr>
              <w:rPr>
                <w:b/>
              </w:rPr>
            </w:pPr>
            <w:r>
              <w:t>Relación</w:t>
            </w:r>
            <w:r>
              <w:rPr>
                <w:vertAlign w:val="subscript"/>
              </w:rPr>
              <w:t xml:space="preserve"> </w:t>
            </w:r>
            <w:r>
              <w:t>positiva</w:t>
            </w:r>
            <w:r>
              <w:rPr>
                <w:vertAlign w:val="subscript"/>
              </w:rPr>
              <w:t xml:space="preserve"> </w:t>
            </w:r>
            <w:r>
              <w:t>perfecta</w:t>
            </w:r>
          </w:p>
        </w:tc>
      </w:tr>
      <w:tr w:rsidR="00657D48" w14:paraId="6449CBB6" w14:textId="77777777" w:rsidTr="000401B3">
        <w:trPr>
          <w:trHeight w:val="404"/>
        </w:trPr>
        <w:tc>
          <w:tcPr>
            <w:tcW w:w="1660" w:type="dxa"/>
            <w:tcBorders>
              <w:top w:val="nil"/>
              <w:left w:val="nil"/>
              <w:bottom w:val="nil"/>
              <w:right w:val="nil"/>
            </w:tcBorders>
            <w:vAlign w:val="center"/>
          </w:tcPr>
          <w:p w14:paraId="74E8CF6C" w14:textId="77777777" w:rsidR="00657D48" w:rsidRDefault="003F3EEB">
            <w:pPr>
              <w:jc w:val="center"/>
              <w:rPr>
                <w:b/>
              </w:rPr>
            </w:pPr>
            <w:r>
              <w:t>+/- 0.80</w:t>
            </w:r>
          </w:p>
        </w:tc>
        <w:tc>
          <w:tcPr>
            <w:tcW w:w="4601" w:type="dxa"/>
            <w:tcBorders>
              <w:top w:val="nil"/>
              <w:left w:val="nil"/>
              <w:bottom w:val="nil"/>
              <w:right w:val="nil"/>
            </w:tcBorders>
            <w:vAlign w:val="center"/>
          </w:tcPr>
          <w:p w14:paraId="226A54F4" w14:textId="4F9DEC46" w:rsidR="00657D48" w:rsidRDefault="003F3EEB">
            <w:pPr>
              <w:rPr>
                <w:b/>
              </w:rPr>
            </w:pPr>
            <w:r>
              <w:t>Relación</w:t>
            </w:r>
            <w:r>
              <w:rPr>
                <w:vertAlign w:val="subscript"/>
              </w:rPr>
              <w:t xml:space="preserve"> </w:t>
            </w:r>
            <w:r>
              <w:t>positiva</w:t>
            </w:r>
            <w:r>
              <w:rPr>
                <w:vertAlign w:val="subscript"/>
              </w:rPr>
              <w:t xml:space="preserve"> </w:t>
            </w:r>
            <w:r>
              <w:t>muy fuerte</w:t>
            </w:r>
          </w:p>
        </w:tc>
      </w:tr>
      <w:tr w:rsidR="00657D48" w14:paraId="66FE9DFE" w14:textId="77777777" w:rsidTr="000401B3">
        <w:trPr>
          <w:trHeight w:val="404"/>
        </w:trPr>
        <w:tc>
          <w:tcPr>
            <w:tcW w:w="1660" w:type="dxa"/>
            <w:tcBorders>
              <w:top w:val="nil"/>
              <w:left w:val="nil"/>
              <w:bottom w:val="nil"/>
              <w:right w:val="nil"/>
            </w:tcBorders>
            <w:vAlign w:val="center"/>
          </w:tcPr>
          <w:p w14:paraId="7E18F25C" w14:textId="77777777" w:rsidR="00657D48" w:rsidRDefault="003F3EEB">
            <w:pPr>
              <w:jc w:val="center"/>
              <w:rPr>
                <w:b/>
              </w:rPr>
            </w:pPr>
            <w:r>
              <w:t>+/- 0.60</w:t>
            </w:r>
          </w:p>
        </w:tc>
        <w:tc>
          <w:tcPr>
            <w:tcW w:w="4601" w:type="dxa"/>
            <w:tcBorders>
              <w:top w:val="nil"/>
              <w:left w:val="nil"/>
              <w:bottom w:val="nil"/>
              <w:right w:val="nil"/>
            </w:tcBorders>
            <w:vAlign w:val="center"/>
          </w:tcPr>
          <w:p w14:paraId="1E16AD2F" w14:textId="1AA72DDC" w:rsidR="00657D48" w:rsidRDefault="003F3EEB">
            <w:pPr>
              <w:rPr>
                <w:b/>
              </w:rPr>
            </w:pPr>
            <w:r>
              <w:t>Relación</w:t>
            </w:r>
            <w:r>
              <w:rPr>
                <w:vertAlign w:val="subscript"/>
              </w:rPr>
              <w:t xml:space="preserve"> </w:t>
            </w:r>
            <w:r>
              <w:t>positiva</w:t>
            </w:r>
            <w:r>
              <w:rPr>
                <w:vertAlign w:val="subscript"/>
              </w:rPr>
              <w:t xml:space="preserve"> </w:t>
            </w:r>
            <w:r>
              <w:t>fuerte</w:t>
            </w:r>
          </w:p>
        </w:tc>
      </w:tr>
      <w:tr w:rsidR="00657D48" w14:paraId="60664ACA" w14:textId="77777777" w:rsidTr="000401B3">
        <w:trPr>
          <w:trHeight w:val="404"/>
        </w:trPr>
        <w:tc>
          <w:tcPr>
            <w:tcW w:w="1660" w:type="dxa"/>
            <w:tcBorders>
              <w:top w:val="nil"/>
              <w:left w:val="nil"/>
              <w:bottom w:val="nil"/>
              <w:right w:val="nil"/>
            </w:tcBorders>
            <w:vAlign w:val="center"/>
          </w:tcPr>
          <w:p w14:paraId="510002C6" w14:textId="77777777" w:rsidR="00657D48" w:rsidRDefault="003F3EEB">
            <w:pPr>
              <w:jc w:val="center"/>
              <w:rPr>
                <w:b/>
              </w:rPr>
            </w:pPr>
            <w:r>
              <w:t>+/- 0.40</w:t>
            </w:r>
          </w:p>
        </w:tc>
        <w:tc>
          <w:tcPr>
            <w:tcW w:w="4601" w:type="dxa"/>
            <w:tcBorders>
              <w:top w:val="nil"/>
              <w:left w:val="nil"/>
              <w:bottom w:val="nil"/>
              <w:right w:val="nil"/>
            </w:tcBorders>
            <w:vAlign w:val="center"/>
          </w:tcPr>
          <w:p w14:paraId="0877362E" w14:textId="1A96FE68" w:rsidR="00657D48" w:rsidRDefault="003F3EEB">
            <w:pPr>
              <w:rPr>
                <w:b/>
              </w:rPr>
            </w:pPr>
            <w:r>
              <w:t>Relación</w:t>
            </w:r>
            <w:r>
              <w:rPr>
                <w:vertAlign w:val="subscript"/>
              </w:rPr>
              <w:t xml:space="preserve"> </w:t>
            </w:r>
            <w:r>
              <w:t>positiva</w:t>
            </w:r>
            <w:r>
              <w:rPr>
                <w:vertAlign w:val="subscript"/>
              </w:rPr>
              <w:t xml:space="preserve"> </w:t>
            </w:r>
            <w:r>
              <w:t>moderada</w:t>
            </w:r>
          </w:p>
        </w:tc>
      </w:tr>
      <w:tr w:rsidR="00657D48" w14:paraId="070BF24D" w14:textId="77777777" w:rsidTr="000401B3">
        <w:trPr>
          <w:trHeight w:val="404"/>
        </w:trPr>
        <w:tc>
          <w:tcPr>
            <w:tcW w:w="1660" w:type="dxa"/>
            <w:tcBorders>
              <w:top w:val="nil"/>
              <w:left w:val="nil"/>
              <w:bottom w:val="nil"/>
              <w:right w:val="nil"/>
            </w:tcBorders>
            <w:vAlign w:val="center"/>
          </w:tcPr>
          <w:p w14:paraId="4F501D8B" w14:textId="77777777" w:rsidR="00657D48" w:rsidRDefault="003F3EEB">
            <w:pPr>
              <w:jc w:val="center"/>
            </w:pPr>
            <w:r>
              <w:t>+/- 0.20</w:t>
            </w:r>
          </w:p>
        </w:tc>
        <w:tc>
          <w:tcPr>
            <w:tcW w:w="4601" w:type="dxa"/>
            <w:tcBorders>
              <w:top w:val="nil"/>
              <w:left w:val="nil"/>
              <w:bottom w:val="nil"/>
              <w:right w:val="nil"/>
            </w:tcBorders>
            <w:vAlign w:val="center"/>
          </w:tcPr>
          <w:p w14:paraId="4F8A487E" w14:textId="2DAA9913" w:rsidR="00657D48" w:rsidRDefault="003F3EEB">
            <w:pPr>
              <w:rPr>
                <w:b/>
              </w:rPr>
            </w:pPr>
            <w:r>
              <w:t>Relación</w:t>
            </w:r>
            <w:r>
              <w:rPr>
                <w:vertAlign w:val="subscript"/>
              </w:rPr>
              <w:t xml:space="preserve"> </w:t>
            </w:r>
            <w:r>
              <w:t>positiva</w:t>
            </w:r>
            <w:r>
              <w:rPr>
                <w:vertAlign w:val="subscript"/>
              </w:rPr>
              <w:t xml:space="preserve"> </w:t>
            </w:r>
            <w:r>
              <w:t>débil</w:t>
            </w:r>
          </w:p>
        </w:tc>
      </w:tr>
      <w:tr w:rsidR="00657D48" w14:paraId="400FBD7C" w14:textId="77777777" w:rsidTr="000401B3">
        <w:trPr>
          <w:trHeight w:val="404"/>
        </w:trPr>
        <w:tc>
          <w:tcPr>
            <w:tcW w:w="1660" w:type="dxa"/>
            <w:tcBorders>
              <w:top w:val="nil"/>
              <w:left w:val="nil"/>
              <w:bottom w:val="single" w:sz="4" w:space="0" w:color="000000"/>
              <w:right w:val="nil"/>
            </w:tcBorders>
            <w:vAlign w:val="center"/>
          </w:tcPr>
          <w:p w14:paraId="705B365B" w14:textId="77777777" w:rsidR="00657D48" w:rsidRDefault="003F3EEB">
            <w:pPr>
              <w:jc w:val="center"/>
            </w:pPr>
            <w:r>
              <w:t>0.00</w:t>
            </w:r>
          </w:p>
        </w:tc>
        <w:tc>
          <w:tcPr>
            <w:tcW w:w="4601" w:type="dxa"/>
            <w:tcBorders>
              <w:top w:val="nil"/>
              <w:left w:val="nil"/>
              <w:bottom w:val="single" w:sz="4" w:space="0" w:color="000000"/>
              <w:right w:val="nil"/>
            </w:tcBorders>
            <w:vAlign w:val="center"/>
          </w:tcPr>
          <w:p w14:paraId="76413EB6" w14:textId="77777777" w:rsidR="00657D48" w:rsidRDefault="003F3EEB">
            <w:pPr>
              <w:rPr>
                <w:b/>
              </w:rPr>
            </w:pPr>
            <w:r>
              <w:t>No existe</w:t>
            </w:r>
            <w:r>
              <w:rPr>
                <w:vertAlign w:val="subscript"/>
              </w:rPr>
              <w:t xml:space="preserve"> </w:t>
            </w:r>
            <w:r>
              <w:t>relación</w:t>
            </w:r>
          </w:p>
        </w:tc>
      </w:tr>
    </w:tbl>
    <w:p w14:paraId="36E51125" w14:textId="77777777" w:rsidR="00657D48" w:rsidRDefault="003F3EEB">
      <w:pPr>
        <w:widowControl w:val="0"/>
        <w:spacing w:after="160"/>
        <w:rPr>
          <w:rFonts w:ascii="Times New Roman" w:eastAsia="Times New Roman" w:hAnsi="Times New Roman" w:cs="Times New Roman"/>
          <w:sz w:val="20"/>
          <w:szCs w:val="20"/>
        </w:rPr>
      </w:pPr>
      <w:r>
        <w:rPr>
          <w:rFonts w:ascii="Times New Roman" w:eastAsia="Times New Roman" w:hAnsi="Times New Roman" w:cs="Times New Roman"/>
          <w:sz w:val="20"/>
          <w:szCs w:val="20"/>
        </w:rPr>
        <w:t>Fuente: Flores et al. (2019).</w:t>
      </w:r>
    </w:p>
    <w:p w14:paraId="0CCF7CC8" w14:textId="77777777" w:rsidR="00657D48" w:rsidRDefault="003F3EEB">
      <w:pPr>
        <w:tabs>
          <w:tab w:val="left" w:pos="8222"/>
        </w:tabs>
        <w:spacing w:after="120"/>
        <w:jc w:val="both"/>
        <w:rPr>
          <w:rFonts w:ascii="Times New Roman" w:eastAsia="Times New Roman" w:hAnsi="Times New Roman" w:cs="Times New Roman"/>
          <w:b/>
        </w:rPr>
      </w:pPr>
      <w:r>
        <w:rPr>
          <w:rFonts w:ascii="Times New Roman" w:eastAsia="Times New Roman" w:hAnsi="Times New Roman" w:cs="Times New Roman"/>
          <w:b/>
        </w:rPr>
        <w:lastRenderedPageBreak/>
        <w:t xml:space="preserve">a) Hipótesis general </w:t>
      </w:r>
    </w:p>
    <w:p w14:paraId="0EF2AAF3" w14:textId="77777777" w:rsidR="00657D48" w:rsidRDefault="003F3EEB">
      <w:pPr>
        <w:tabs>
          <w:tab w:val="left" w:pos="8222"/>
        </w:tabs>
        <w:spacing w:after="120"/>
        <w:ind w:left="426" w:hanging="426"/>
        <w:jc w:val="both"/>
        <w:rPr>
          <w:rFonts w:ascii="Times New Roman" w:eastAsia="Times New Roman" w:hAnsi="Times New Roman" w:cs="Times New Roman"/>
        </w:rPr>
      </w:pPr>
      <w:r>
        <w:rPr>
          <w:rFonts w:ascii="Times New Roman" w:eastAsia="Times New Roman" w:hAnsi="Times New Roman" w:cs="Times New Roman"/>
        </w:rPr>
        <w:t>Ha: La Gestión del Riesgo de Desastres en los Procesos de Reducción del Riesgo, Preparación y Respuesta tiene relación significativa en las competencias en el Sector Defensa año 2021.</w:t>
      </w:r>
    </w:p>
    <w:p w14:paraId="0E94D8CA" w14:textId="77777777" w:rsidR="00657D48" w:rsidRDefault="003F3EEB">
      <w:pPr>
        <w:tabs>
          <w:tab w:val="left" w:pos="8222"/>
        </w:tabs>
        <w:spacing w:after="120"/>
        <w:ind w:left="426" w:hanging="426"/>
        <w:jc w:val="both"/>
        <w:rPr>
          <w:rFonts w:ascii="Times New Roman" w:eastAsia="Times New Roman" w:hAnsi="Times New Roman" w:cs="Times New Roman"/>
        </w:rPr>
      </w:pPr>
      <w:r>
        <w:rPr>
          <w:rFonts w:ascii="Times New Roman" w:eastAsia="Times New Roman" w:hAnsi="Times New Roman" w:cs="Times New Roman"/>
        </w:rPr>
        <w:t>Ho: La Gestión del Riesgo de Desastres en los Procesos de Reducción del Riesgo, Preparación y Respuesta no tiene relación significativa en las competencias en el Sector Defensa año 2021.</w:t>
      </w:r>
    </w:p>
    <w:p w14:paraId="7F4D6CCF" w14:textId="77777777" w:rsidR="00657D48" w:rsidRDefault="003F3EEB">
      <w:pPr>
        <w:tabs>
          <w:tab w:val="left" w:pos="8222"/>
        </w:tabs>
        <w:spacing w:after="0"/>
        <w:ind w:left="425" w:hanging="425"/>
        <w:jc w:val="both"/>
        <w:rPr>
          <w:rFonts w:ascii="Times New Roman" w:eastAsia="Times New Roman" w:hAnsi="Times New Roman" w:cs="Times New Roman"/>
        </w:rPr>
      </w:pPr>
      <w:r>
        <w:rPr>
          <w:rFonts w:ascii="Times New Roman" w:eastAsia="Times New Roman" w:hAnsi="Times New Roman" w:cs="Times New Roman"/>
          <w:b/>
        </w:rPr>
        <w:t>Criterios:</w:t>
      </w:r>
      <w:r>
        <w:rPr>
          <w:rFonts w:ascii="Times New Roman" w:eastAsia="Times New Roman" w:hAnsi="Times New Roman" w:cs="Times New Roman"/>
        </w:rPr>
        <w:t xml:space="preserve"> Sí p valor &gt; 0.05 se acepta el Ho (Hipótesis nula). </w:t>
      </w:r>
    </w:p>
    <w:p w14:paraId="58544093" w14:textId="77777777" w:rsidR="00657D48" w:rsidRDefault="003F3EEB">
      <w:pPr>
        <w:tabs>
          <w:tab w:val="left" w:pos="8222"/>
        </w:tabs>
        <w:spacing w:after="200"/>
        <w:ind w:left="992" w:hanging="992"/>
        <w:jc w:val="both"/>
        <w:rPr>
          <w:rFonts w:ascii="Times New Roman" w:eastAsia="Times New Roman" w:hAnsi="Times New Roman" w:cs="Times New Roman"/>
        </w:rPr>
      </w:pPr>
      <w:r>
        <w:rPr>
          <w:rFonts w:ascii="Times New Roman" w:eastAsia="Times New Roman" w:hAnsi="Times New Roman" w:cs="Times New Roman"/>
        </w:rPr>
        <w:tab/>
        <w:t>Sí p valor &lt; 0.05 se acepta la Ha (Hipótesis del investigador).</w:t>
      </w:r>
    </w:p>
    <w:p w14:paraId="616702D8" w14:textId="66E84BD5" w:rsidR="000401B3" w:rsidRPr="00AF3701" w:rsidRDefault="000401B3" w:rsidP="000401B3">
      <w:pPr>
        <w:pStyle w:val="Descripcin"/>
        <w:spacing w:after="80"/>
        <w:rPr>
          <w:rFonts w:ascii="Times New Roman" w:eastAsia="Times New Roman" w:hAnsi="Times New Roman" w:cs="Times New Roman"/>
          <w:b/>
          <w:i w:val="0"/>
          <w:color w:val="auto"/>
          <w:sz w:val="24"/>
        </w:rPr>
      </w:pPr>
      <w:bookmarkStart w:id="184" w:name="_2fk6b3p" w:colFirst="0" w:colLast="0"/>
      <w:bookmarkStart w:id="185" w:name="_Toc116591671"/>
      <w:bookmarkEnd w:id="184"/>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14</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85"/>
    </w:p>
    <w:p w14:paraId="761764F2"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Correlación entre las variables de la hipótesis general</w:t>
      </w:r>
    </w:p>
    <w:tbl>
      <w:tblPr>
        <w:tblStyle w:val="ac"/>
        <w:tblW w:w="7954" w:type="dxa"/>
        <w:tblInd w:w="0" w:type="dxa"/>
        <w:tblBorders>
          <w:top w:val="single" w:sz="4" w:space="0" w:color="000000"/>
          <w:bottom w:val="single" w:sz="4" w:space="0" w:color="000000"/>
        </w:tblBorders>
        <w:tblLayout w:type="fixed"/>
        <w:tblLook w:val="0000" w:firstRow="0" w:lastRow="0" w:firstColumn="0" w:lastColumn="0" w:noHBand="0" w:noVBand="0"/>
      </w:tblPr>
      <w:tblGrid>
        <w:gridCol w:w="1420"/>
        <w:gridCol w:w="1960"/>
        <w:gridCol w:w="2043"/>
        <w:gridCol w:w="2531"/>
      </w:tblGrid>
      <w:tr w:rsidR="00657D48" w14:paraId="02042557" w14:textId="77777777">
        <w:trPr>
          <w:cantSplit/>
          <w:trHeight w:val="454"/>
        </w:trPr>
        <w:tc>
          <w:tcPr>
            <w:tcW w:w="5423" w:type="dxa"/>
            <w:gridSpan w:val="3"/>
            <w:tcBorders>
              <w:top w:val="single" w:sz="4" w:space="0" w:color="000000"/>
              <w:bottom w:val="single" w:sz="4" w:space="0" w:color="000000"/>
            </w:tcBorders>
            <w:shd w:val="clear" w:color="auto" w:fill="auto"/>
            <w:vAlign w:val="center"/>
          </w:tcPr>
          <w:p w14:paraId="7A888861" w14:textId="77777777" w:rsidR="00657D48" w:rsidRDefault="00657D48">
            <w:pPr>
              <w:spacing w:after="0" w:line="240" w:lineRule="auto"/>
              <w:jc w:val="center"/>
              <w:rPr>
                <w:rFonts w:ascii="Times New Roman" w:eastAsia="Times New Roman" w:hAnsi="Times New Roman" w:cs="Times New Roman"/>
                <w:sz w:val="20"/>
                <w:szCs w:val="20"/>
              </w:rPr>
            </w:pPr>
          </w:p>
        </w:tc>
        <w:tc>
          <w:tcPr>
            <w:tcW w:w="2531" w:type="dxa"/>
            <w:tcBorders>
              <w:top w:val="single" w:sz="4" w:space="0" w:color="000000"/>
              <w:bottom w:val="single" w:sz="4" w:space="0" w:color="000000"/>
            </w:tcBorders>
            <w:shd w:val="clear" w:color="auto" w:fill="auto"/>
            <w:vAlign w:val="center"/>
          </w:tcPr>
          <w:p w14:paraId="62E4E3CD"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Competencias en el Sector Defensa</w:t>
            </w:r>
          </w:p>
        </w:tc>
      </w:tr>
      <w:tr w:rsidR="00657D48" w14:paraId="5A260F82" w14:textId="77777777">
        <w:trPr>
          <w:cantSplit/>
          <w:trHeight w:val="454"/>
        </w:trPr>
        <w:tc>
          <w:tcPr>
            <w:tcW w:w="1420" w:type="dxa"/>
            <w:vMerge w:val="restart"/>
            <w:tcBorders>
              <w:top w:val="single" w:sz="4" w:space="0" w:color="000000"/>
            </w:tcBorders>
            <w:shd w:val="clear" w:color="auto" w:fill="auto"/>
            <w:vAlign w:val="center"/>
          </w:tcPr>
          <w:p w14:paraId="7419235D"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Rho de Spearman</w:t>
            </w:r>
          </w:p>
        </w:tc>
        <w:tc>
          <w:tcPr>
            <w:tcW w:w="1960" w:type="dxa"/>
            <w:vMerge w:val="restart"/>
            <w:tcBorders>
              <w:top w:val="single" w:sz="4" w:space="0" w:color="000000"/>
            </w:tcBorders>
            <w:shd w:val="clear" w:color="auto" w:fill="auto"/>
            <w:vAlign w:val="center"/>
          </w:tcPr>
          <w:p w14:paraId="036E9FCD"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Gestión del Riesgo de Desastres</w:t>
            </w:r>
          </w:p>
        </w:tc>
        <w:tc>
          <w:tcPr>
            <w:tcW w:w="2043" w:type="dxa"/>
            <w:tcBorders>
              <w:top w:val="single" w:sz="4" w:space="0" w:color="000000"/>
            </w:tcBorders>
            <w:shd w:val="clear" w:color="auto" w:fill="auto"/>
            <w:vAlign w:val="center"/>
          </w:tcPr>
          <w:p w14:paraId="45F52D00"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Coeficiente de correlación</w:t>
            </w:r>
          </w:p>
        </w:tc>
        <w:tc>
          <w:tcPr>
            <w:tcW w:w="2531" w:type="dxa"/>
            <w:tcBorders>
              <w:top w:val="single" w:sz="4" w:space="0" w:color="000000"/>
            </w:tcBorders>
            <w:shd w:val="clear" w:color="auto" w:fill="auto"/>
            <w:vAlign w:val="center"/>
          </w:tcPr>
          <w:p w14:paraId="69CC354F"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0.636</w:t>
            </w:r>
            <w:r>
              <w:rPr>
                <w:rFonts w:ascii="Times New Roman" w:eastAsia="Times New Roman" w:hAnsi="Times New Roman" w:cs="Times New Roman"/>
                <w:sz w:val="20"/>
                <w:szCs w:val="20"/>
                <w:vertAlign w:val="superscript"/>
              </w:rPr>
              <w:t>**</w:t>
            </w:r>
          </w:p>
        </w:tc>
      </w:tr>
      <w:tr w:rsidR="00657D48" w14:paraId="072A408E" w14:textId="77777777">
        <w:trPr>
          <w:cantSplit/>
          <w:trHeight w:val="454"/>
        </w:trPr>
        <w:tc>
          <w:tcPr>
            <w:tcW w:w="1420" w:type="dxa"/>
            <w:vMerge/>
            <w:tcBorders>
              <w:top w:val="single" w:sz="4" w:space="0" w:color="000000"/>
            </w:tcBorders>
            <w:shd w:val="clear" w:color="auto" w:fill="auto"/>
            <w:vAlign w:val="center"/>
          </w:tcPr>
          <w:p w14:paraId="012DD91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60" w:type="dxa"/>
            <w:vMerge/>
            <w:tcBorders>
              <w:top w:val="single" w:sz="4" w:space="0" w:color="000000"/>
            </w:tcBorders>
            <w:shd w:val="clear" w:color="auto" w:fill="auto"/>
            <w:vAlign w:val="center"/>
          </w:tcPr>
          <w:p w14:paraId="56ED887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3" w:type="dxa"/>
            <w:shd w:val="clear" w:color="auto" w:fill="auto"/>
            <w:vAlign w:val="center"/>
          </w:tcPr>
          <w:p w14:paraId="719A1467"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 valor</w:t>
            </w:r>
          </w:p>
        </w:tc>
        <w:tc>
          <w:tcPr>
            <w:tcW w:w="2531" w:type="dxa"/>
            <w:shd w:val="clear" w:color="auto" w:fill="auto"/>
            <w:vAlign w:val="center"/>
          </w:tcPr>
          <w:p w14:paraId="3F0D956D"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657D48" w14:paraId="2851AE6B" w14:textId="77777777">
        <w:trPr>
          <w:cantSplit/>
          <w:trHeight w:val="454"/>
        </w:trPr>
        <w:tc>
          <w:tcPr>
            <w:tcW w:w="1420" w:type="dxa"/>
            <w:vMerge/>
            <w:tcBorders>
              <w:top w:val="single" w:sz="4" w:space="0" w:color="000000"/>
            </w:tcBorders>
            <w:shd w:val="clear" w:color="auto" w:fill="auto"/>
            <w:vAlign w:val="center"/>
          </w:tcPr>
          <w:p w14:paraId="7AFB45C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60" w:type="dxa"/>
            <w:vMerge/>
            <w:tcBorders>
              <w:top w:val="single" w:sz="4" w:space="0" w:color="000000"/>
            </w:tcBorders>
            <w:shd w:val="clear" w:color="auto" w:fill="auto"/>
            <w:vAlign w:val="center"/>
          </w:tcPr>
          <w:p w14:paraId="14B0B3FE"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3" w:type="dxa"/>
            <w:shd w:val="clear" w:color="auto" w:fill="auto"/>
            <w:vAlign w:val="center"/>
          </w:tcPr>
          <w:p w14:paraId="59F5E2E0"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w:t>
            </w:r>
          </w:p>
        </w:tc>
        <w:tc>
          <w:tcPr>
            <w:tcW w:w="2531" w:type="dxa"/>
            <w:shd w:val="clear" w:color="auto" w:fill="auto"/>
            <w:vAlign w:val="center"/>
          </w:tcPr>
          <w:p w14:paraId="490D8FC7"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r>
    </w:tbl>
    <w:p w14:paraId="609D12A4"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sz w:val="20"/>
          <w:szCs w:val="20"/>
        </w:rPr>
        <w:t>Nota. La correlación es significativa en el nivel 0,01 (p valor).</w:t>
      </w:r>
    </w:p>
    <w:p w14:paraId="334E58F5" w14:textId="5702685D"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86" w:name="_45jfvxd" w:colFirst="0" w:colLast="0"/>
      <w:bookmarkStart w:id="187" w:name="_Toc116591701"/>
      <w:bookmarkEnd w:id="186"/>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9</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87"/>
    </w:p>
    <w:p w14:paraId="45EDD0A1"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Dispersión de correlación las variables de la hipótesis general</w:t>
      </w:r>
      <w:r>
        <w:rPr>
          <w:noProof/>
        </w:rPr>
        <w:drawing>
          <wp:anchor distT="0" distB="0" distL="114300" distR="114300" simplePos="0" relativeHeight="251670528" behindDoc="0" locked="0" layoutInCell="1" hidden="0" allowOverlap="1" wp14:anchorId="2FAEAC8B" wp14:editId="5B1E271D">
            <wp:simplePos x="0" y="0"/>
            <wp:positionH relativeFrom="column">
              <wp:posOffset>1</wp:posOffset>
            </wp:positionH>
            <wp:positionV relativeFrom="paragraph">
              <wp:posOffset>219709</wp:posOffset>
            </wp:positionV>
            <wp:extent cx="4048125" cy="1943100"/>
            <wp:effectExtent l="0" t="0" r="0" b="0"/>
            <wp:wrapTopAndBottom distT="0" distB="0"/>
            <wp:docPr id="1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a:srcRect l="17465" t="20170" r="20087" b="14670"/>
                    <a:stretch>
                      <a:fillRect/>
                    </a:stretch>
                  </pic:blipFill>
                  <pic:spPr>
                    <a:xfrm>
                      <a:off x="0" y="0"/>
                      <a:ext cx="4048125" cy="1943100"/>
                    </a:xfrm>
                    <a:prstGeom prst="rect">
                      <a:avLst/>
                    </a:prstGeom>
                    <a:ln/>
                  </pic:spPr>
                </pic:pic>
              </a:graphicData>
            </a:graphic>
          </wp:anchor>
        </w:drawing>
      </w:r>
    </w:p>
    <w:p w14:paraId="4F6986BB" w14:textId="77777777" w:rsidR="00657D48" w:rsidRDefault="003F3EEB">
      <w:pPr>
        <w:tabs>
          <w:tab w:val="left" w:pos="8222"/>
        </w:tabs>
        <w:spacing w:after="160"/>
        <w:ind w:left="425" w:hanging="4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Fuente: SPSS v. 25.</w:t>
      </w:r>
    </w:p>
    <w:p w14:paraId="1E629066" w14:textId="6B7965FE" w:rsidR="00657D48" w:rsidRDefault="00B37FF3">
      <w:pPr>
        <w:tabs>
          <w:tab w:val="left" w:pos="284"/>
          <w:tab w:val="left" w:pos="8222"/>
        </w:tabs>
        <w:ind w:firstLine="567"/>
        <w:jc w:val="both"/>
        <w:rPr>
          <w:rFonts w:ascii="Times New Roman" w:eastAsia="Times New Roman" w:hAnsi="Times New Roman" w:cs="Times New Roman"/>
        </w:rPr>
      </w:pPr>
      <w:r w:rsidRPr="00B37FF3">
        <w:rPr>
          <w:rFonts w:ascii="Times New Roman" w:eastAsia="Times New Roman" w:hAnsi="Times New Roman" w:cs="Times New Roman"/>
        </w:rPr>
        <w:t>En la tabla 14, se visualiza un coeficiente de Rho=0.636, evidenciándose que la Gestión del Riesgo de Desastres tiene relación de tipo positiva y de grado fuerte con las competencias en el Sector Defensa. Así mismo, al realizar la lectura del p valor que fue de 0.000 &lt; 0.050, se llegó a rechazar la hipótesis nula y se concluye</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que la Gestión del Riesgo de Desastres tendría relación significativa con las competencias en el Sector Defensa año 2021.</w:t>
      </w:r>
    </w:p>
    <w:p w14:paraId="464A5213" w14:textId="77777777" w:rsidR="00657D48" w:rsidRDefault="003F3EEB">
      <w:pPr>
        <w:tabs>
          <w:tab w:val="left" w:pos="8222"/>
        </w:tabs>
        <w:spacing w:after="200"/>
        <w:jc w:val="both"/>
        <w:rPr>
          <w:rFonts w:ascii="Times New Roman" w:eastAsia="Times New Roman" w:hAnsi="Times New Roman" w:cs="Times New Roman"/>
          <w:b/>
        </w:rPr>
      </w:pPr>
      <w:r>
        <w:rPr>
          <w:rFonts w:ascii="Times New Roman" w:eastAsia="Times New Roman" w:hAnsi="Times New Roman" w:cs="Times New Roman"/>
          <w:b/>
        </w:rPr>
        <w:t>a) Hipótesis específica 01</w:t>
      </w:r>
    </w:p>
    <w:p w14:paraId="2C3B8582" w14:textId="77777777" w:rsidR="00657D48" w:rsidRDefault="003F3EEB">
      <w:pPr>
        <w:tabs>
          <w:tab w:val="left" w:pos="8222"/>
        </w:tabs>
        <w:spacing w:after="200"/>
        <w:ind w:left="426" w:hanging="426"/>
        <w:jc w:val="both"/>
        <w:rPr>
          <w:rFonts w:ascii="Times New Roman" w:eastAsia="Times New Roman" w:hAnsi="Times New Roman" w:cs="Times New Roman"/>
        </w:rPr>
      </w:pPr>
      <w:r>
        <w:rPr>
          <w:rFonts w:ascii="Times New Roman" w:eastAsia="Times New Roman" w:hAnsi="Times New Roman" w:cs="Times New Roman"/>
        </w:rPr>
        <w:t>Ha: El proceso de Reducción del Riesgo tiene relación significativa en las medidas de socialización en el Sector Defensa año 2021.</w:t>
      </w:r>
    </w:p>
    <w:p w14:paraId="027DA791" w14:textId="77777777" w:rsidR="00657D48" w:rsidRDefault="003F3EEB">
      <w:pPr>
        <w:tabs>
          <w:tab w:val="left" w:pos="8222"/>
        </w:tabs>
        <w:spacing w:after="200"/>
        <w:ind w:left="426" w:hanging="426"/>
        <w:jc w:val="both"/>
        <w:rPr>
          <w:rFonts w:ascii="Times New Roman" w:eastAsia="Times New Roman" w:hAnsi="Times New Roman" w:cs="Times New Roman"/>
        </w:rPr>
      </w:pPr>
      <w:r>
        <w:rPr>
          <w:rFonts w:ascii="Times New Roman" w:eastAsia="Times New Roman" w:hAnsi="Times New Roman" w:cs="Times New Roman"/>
        </w:rPr>
        <w:t>Ho: El proceso de Reducción del Riesgo no tiene relación significativa en las medidas de socialización en el Sector Defensa año 2021.</w:t>
      </w:r>
    </w:p>
    <w:p w14:paraId="21A924F0" w14:textId="5A8F8D72" w:rsidR="000401B3" w:rsidRPr="00AF3701" w:rsidRDefault="000401B3" w:rsidP="000401B3">
      <w:pPr>
        <w:pStyle w:val="Descripcin"/>
        <w:spacing w:after="80"/>
        <w:rPr>
          <w:rFonts w:ascii="Times New Roman" w:eastAsia="Times New Roman" w:hAnsi="Times New Roman" w:cs="Times New Roman"/>
          <w:b/>
          <w:i w:val="0"/>
          <w:color w:val="auto"/>
          <w:sz w:val="24"/>
        </w:rPr>
      </w:pPr>
      <w:bookmarkStart w:id="188" w:name="_upglbi" w:colFirst="0" w:colLast="0"/>
      <w:bookmarkStart w:id="189" w:name="_Toc116591672"/>
      <w:bookmarkEnd w:id="188"/>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15</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89"/>
    </w:p>
    <w:p w14:paraId="6745C309"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Correlación entre las variables de la hipótesis específica 1</w:t>
      </w:r>
    </w:p>
    <w:tbl>
      <w:tblPr>
        <w:tblStyle w:val="ad"/>
        <w:tblW w:w="7942" w:type="dxa"/>
        <w:tblInd w:w="0" w:type="dxa"/>
        <w:tblBorders>
          <w:top w:val="single" w:sz="4" w:space="0" w:color="000000"/>
          <w:bottom w:val="single" w:sz="4" w:space="0" w:color="000000"/>
        </w:tblBorders>
        <w:tblLayout w:type="fixed"/>
        <w:tblLook w:val="0000" w:firstRow="0" w:lastRow="0" w:firstColumn="0" w:lastColumn="0" w:noHBand="0" w:noVBand="0"/>
      </w:tblPr>
      <w:tblGrid>
        <w:gridCol w:w="1418"/>
        <w:gridCol w:w="1957"/>
        <w:gridCol w:w="2040"/>
        <w:gridCol w:w="2527"/>
      </w:tblGrid>
      <w:tr w:rsidR="00657D48" w14:paraId="089F6575" w14:textId="77777777">
        <w:trPr>
          <w:cantSplit/>
          <w:trHeight w:val="454"/>
        </w:trPr>
        <w:tc>
          <w:tcPr>
            <w:tcW w:w="5415" w:type="dxa"/>
            <w:gridSpan w:val="3"/>
            <w:tcBorders>
              <w:top w:val="single" w:sz="4" w:space="0" w:color="000000"/>
              <w:bottom w:val="single" w:sz="4" w:space="0" w:color="000000"/>
            </w:tcBorders>
            <w:shd w:val="clear" w:color="auto" w:fill="auto"/>
            <w:vAlign w:val="center"/>
          </w:tcPr>
          <w:p w14:paraId="7A581CFD" w14:textId="77777777" w:rsidR="00657D48" w:rsidRDefault="00657D48">
            <w:pPr>
              <w:spacing w:after="0" w:line="240" w:lineRule="auto"/>
              <w:jc w:val="center"/>
              <w:rPr>
                <w:rFonts w:ascii="Times New Roman" w:eastAsia="Times New Roman" w:hAnsi="Times New Roman" w:cs="Times New Roman"/>
                <w:sz w:val="20"/>
                <w:szCs w:val="20"/>
              </w:rPr>
            </w:pPr>
          </w:p>
        </w:tc>
        <w:tc>
          <w:tcPr>
            <w:tcW w:w="2527" w:type="dxa"/>
            <w:tcBorders>
              <w:top w:val="single" w:sz="4" w:space="0" w:color="000000"/>
              <w:bottom w:val="single" w:sz="4" w:space="0" w:color="000000"/>
            </w:tcBorders>
            <w:shd w:val="clear" w:color="auto" w:fill="auto"/>
            <w:vAlign w:val="center"/>
          </w:tcPr>
          <w:p w14:paraId="215D0541"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Socialización</w:t>
            </w:r>
          </w:p>
        </w:tc>
      </w:tr>
      <w:tr w:rsidR="00657D48" w14:paraId="0C826424" w14:textId="77777777">
        <w:trPr>
          <w:cantSplit/>
          <w:trHeight w:val="454"/>
        </w:trPr>
        <w:tc>
          <w:tcPr>
            <w:tcW w:w="1418" w:type="dxa"/>
            <w:vMerge w:val="restart"/>
            <w:tcBorders>
              <w:top w:val="single" w:sz="4" w:space="0" w:color="000000"/>
            </w:tcBorders>
            <w:shd w:val="clear" w:color="auto" w:fill="auto"/>
            <w:vAlign w:val="center"/>
          </w:tcPr>
          <w:p w14:paraId="660400FC"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Rho de Spearman</w:t>
            </w:r>
          </w:p>
        </w:tc>
        <w:tc>
          <w:tcPr>
            <w:tcW w:w="1957" w:type="dxa"/>
            <w:vMerge w:val="restart"/>
            <w:tcBorders>
              <w:top w:val="single" w:sz="4" w:space="0" w:color="000000"/>
            </w:tcBorders>
            <w:shd w:val="clear" w:color="auto" w:fill="auto"/>
            <w:vAlign w:val="center"/>
          </w:tcPr>
          <w:p w14:paraId="42A6A853"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Reducción del Riesgo</w:t>
            </w:r>
          </w:p>
        </w:tc>
        <w:tc>
          <w:tcPr>
            <w:tcW w:w="2040" w:type="dxa"/>
            <w:tcBorders>
              <w:top w:val="single" w:sz="4" w:space="0" w:color="000000"/>
            </w:tcBorders>
            <w:shd w:val="clear" w:color="auto" w:fill="auto"/>
            <w:vAlign w:val="center"/>
          </w:tcPr>
          <w:p w14:paraId="0E945DC2"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Coeficiente de correlación</w:t>
            </w:r>
          </w:p>
        </w:tc>
        <w:tc>
          <w:tcPr>
            <w:tcW w:w="2527" w:type="dxa"/>
            <w:tcBorders>
              <w:top w:val="single" w:sz="4" w:space="0" w:color="000000"/>
            </w:tcBorders>
            <w:shd w:val="clear" w:color="auto" w:fill="auto"/>
            <w:vAlign w:val="center"/>
          </w:tcPr>
          <w:p w14:paraId="6CDD9AA4"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0.453</w:t>
            </w:r>
            <w:r>
              <w:rPr>
                <w:rFonts w:ascii="Times New Roman" w:eastAsia="Times New Roman" w:hAnsi="Times New Roman" w:cs="Times New Roman"/>
                <w:sz w:val="20"/>
                <w:szCs w:val="20"/>
                <w:vertAlign w:val="superscript"/>
              </w:rPr>
              <w:t>**</w:t>
            </w:r>
          </w:p>
        </w:tc>
      </w:tr>
      <w:tr w:rsidR="00657D48" w14:paraId="15FED11F" w14:textId="77777777">
        <w:trPr>
          <w:cantSplit/>
          <w:trHeight w:val="454"/>
        </w:trPr>
        <w:tc>
          <w:tcPr>
            <w:tcW w:w="1418" w:type="dxa"/>
            <w:vMerge/>
            <w:tcBorders>
              <w:top w:val="single" w:sz="4" w:space="0" w:color="000000"/>
            </w:tcBorders>
            <w:shd w:val="clear" w:color="auto" w:fill="auto"/>
            <w:vAlign w:val="center"/>
          </w:tcPr>
          <w:p w14:paraId="0148758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57" w:type="dxa"/>
            <w:vMerge/>
            <w:tcBorders>
              <w:top w:val="single" w:sz="4" w:space="0" w:color="000000"/>
            </w:tcBorders>
            <w:shd w:val="clear" w:color="auto" w:fill="auto"/>
            <w:vAlign w:val="center"/>
          </w:tcPr>
          <w:p w14:paraId="53D245B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0" w:type="dxa"/>
            <w:shd w:val="clear" w:color="auto" w:fill="auto"/>
            <w:vAlign w:val="center"/>
          </w:tcPr>
          <w:p w14:paraId="44CA413F"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 valor</w:t>
            </w:r>
          </w:p>
        </w:tc>
        <w:tc>
          <w:tcPr>
            <w:tcW w:w="2527" w:type="dxa"/>
            <w:shd w:val="clear" w:color="auto" w:fill="auto"/>
            <w:vAlign w:val="center"/>
          </w:tcPr>
          <w:p w14:paraId="1E35EE2C"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657D48" w14:paraId="3C852AA0" w14:textId="77777777">
        <w:trPr>
          <w:cantSplit/>
          <w:trHeight w:val="454"/>
        </w:trPr>
        <w:tc>
          <w:tcPr>
            <w:tcW w:w="1418" w:type="dxa"/>
            <w:vMerge/>
            <w:tcBorders>
              <w:top w:val="single" w:sz="4" w:space="0" w:color="000000"/>
            </w:tcBorders>
            <w:shd w:val="clear" w:color="auto" w:fill="auto"/>
            <w:vAlign w:val="center"/>
          </w:tcPr>
          <w:p w14:paraId="6BA96282"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57" w:type="dxa"/>
            <w:vMerge/>
            <w:tcBorders>
              <w:top w:val="single" w:sz="4" w:space="0" w:color="000000"/>
            </w:tcBorders>
            <w:shd w:val="clear" w:color="auto" w:fill="auto"/>
            <w:vAlign w:val="center"/>
          </w:tcPr>
          <w:p w14:paraId="5C3503A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0" w:type="dxa"/>
            <w:shd w:val="clear" w:color="auto" w:fill="auto"/>
            <w:vAlign w:val="center"/>
          </w:tcPr>
          <w:p w14:paraId="78DAAD6E"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w:t>
            </w:r>
          </w:p>
        </w:tc>
        <w:tc>
          <w:tcPr>
            <w:tcW w:w="2527" w:type="dxa"/>
            <w:shd w:val="clear" w:color="auto" w:fill="auto"/>
            <w:vAlign w:val="center"/>
          </w:tcPr>
          <w:p w14:paraId="783C4DE4"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r>
    </w:tbl>
    <w:p w14:paraId="5BC10D45"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sz w:val="20"/>
          <w:szCs w:val="20"/>
        </w:rPr>
        <w:t>Nota. La correlación es significativa en el nivel 0,01 (p valor).</w:t>
      </w:r>
    </w:p>
    <w:p w14:paraId="0ECCA108" w14:textId="79AC28E0"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90" w:name="_2koq656" w:colFirst="0" w:colLast="0"/>
      <w:bookmarkStart w:id="191" w:name="_Toc116591702"/>
      <w:bookmarkEnd w:id="190"/>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10</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91"/>
    </w:p>
    <w:p w14:paraId="2C072B7E" w14:textId="77777777" w:rsidR="00657D48" w:rsidRDefault="003F3EEB">
      <w:pPr>
        <w:spacing w:after="0"/>
        <w:rPr>
          <w:rFonts w:ascii="Times New Roman" w:eastAsia="Times New Roman" w:hAnsi="Times New Roman" w:cs="Times New Roman"/>
        </w:rPr>
      </w:pPr>
      <w:r>
        <w:rPr>
          <w:rFonts w:ascii="Times New Roman" w:eastAsia="Times New Roman" w:hAnsi="Times New Roman" w:cs="Times New Roman"/>
          <w:i/>
        </w:rPr>
        <w:t>Dispersión de correlación las variables de la hipótesis específica 1</w:t>
      </w:r>
      <w:r>
        <w:rPr>
          <w:noProof/>
        </w:rPr>
        <w:drawing>
          <wp:anchor distT="0" distB="0" distL="114300" distR="114300" simplePos="0" relativeHeight="251671552" behindDoc="0" locked="0" layoutInCell="1" hidden="0" allowOverlap="1" wp14:anchorId="2ECF5C7A" wp14:editId="641B7F19">
            <wp:simplePos x="0" y="0"/>
            <wp:positionH relativeFrom="column">
              <wp:posOffset>1</wp:posOffset>
            </wp:positionH>
            <wp:positionV relativeFrom="paragraph">
              <wp:posOffset>217805</wp:posOffset>
            </wp:positionV>
            <wp:extent cx="4337685" cy="2356485"/>
            <wp:effectExtent l="0" t="0" r="0" b="0"/>
            <wp:wrapTopAndBottom distT="0" dist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a:srcRect l="17727" t="24574" r="19170" b="14437"/>
                    <a:stretch>
                      <a:fillRect/>
                    </a:stretch>
                  </pic:blipFill>
                  <pic:spPr>
                    <a:xfrm>
                      <a:off x="0" y="0"/>
                      <a:ext cx="4337685" cy="2356485"/>
                    </a:xfrm>
                    <a:prstGeom prst="rect">
                      <a:avLst/>
                    </a:prstGeom>
                    <a:ln/>
                  </pic:spPr>
                </pic:pic>
              </a:graphicData>
            </a:graphic>
          </wp:anchor>
        </w:drawing>
      </w:r>
    </w:p>
    <w:p w14:paraId="2A1C49E8" w14:textId="77777777" w:rsidR="00657D48" w:rsidRDefault="003F3EEB">
      <w:pPr>
        <w:tabs>
          <w:tab w:val="left" w:pos="8222"/>
        </w:tabs>
        <w:spacing w:after="160"/>
        <w:ind w:left="425" w:hanging="4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Fuente: SPSS v. 25.</w:t>
      </w:r>
    </w:p>
    <w:p w14:paraId="1A4C078D" w14:textId="14F07665" w:rsidR="00657D48" w:rsidRDefault="00B37FF3" w:rsidP="00B37FF3">
      <w:pPr>
        <w:tabs>
          <w:tab w:val="left" w:pos="284"/>
          <w:tab w:val="left" w:pos="8222"/>
        </w:tabs>
        <w:ind w:firstLine="567"/>
        <w:jc w:val="both"/>
        <w:rPr>
          <w:rFonts w:ascii="Times New Roman" w:eastAsia="Times New Roman" w:hAnsi="Times New Roman" w:cs="Times New Roman"/>
        </w:rPr>
      </w:pPr>
      <w:r w:rsidRPr="00B37FF3">
        <w:rPr>
          <w:rFonts w:ascii="Times New Roman" w:eastAsia="Times New Roman" w:hAnsi="Times New Roman" w:cs="Times New Roman"/>
        </w:rPr>
        <w:t>En la tabla 15, se visualiza un coeficiente de Rho=0.453, evidenciándose que el proceso de Reducción de Riesgo tiene incidencia positiva moderada con las medidas de socialización. Así mismo, al realizar la lectura del p valor que fue de</w:t>
      </w:r>
      <w:r>
        <w:rPr>
          <w:rFonts w:ascii="Times New Roman" w:eastAsia="Times New Roman" w:hAnsi="Times New Roman" w:cs="Times New Roman"/>
        </w:rPr>
        <w:t xml:space="preserve"> </w:t>
      </w:r>
      <w:r w:rsidRPr="00B37FF3">
        <w:rPr>
          <w:rFonts w:ascii="Times New Roman" w:eastAsia="Times New Roman" w:hAnsi="Times New Roman" w:cs="Times New Roman"/>
        </w:rPr>
        <w:t>0.000 &lt; 0.050, se llegó a rechazar la hipótesis nula y se concluye que el proceso de</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Reducción del Riesgo tendría relación significativa con las medidas de socialización en el Sector Defensa.</w:t>
      </w:r>
    </w:p>
    <w:p w14:paraId="71CA5D86" w14:textId="77777777" w:rsidR="00657D48" w:rsidRDefault="003F3EEB">
      <w:pPr>
        <w:tabs>
          <w:tab w:val="left" w:pos="8222"/>
        </w:tabs>
        <w:spacing w:after="160"/>
        <w:jc w:val="both"/>
        <w:rPr>
          <w:rFonts w:ascii="Times New Roman" w:eastAsia="Times New Roman" w:hAnsi="Times New Roman" w:cs="Times New Roman"/>
          <w:b/>
        </w:rPr>
      </w:pPr>
      <w:r>
        <w:rPr>
          <w:rFonts w:ascii="Times New Roman" w:eastAsia="Times New Roman" w:hAnsi="Times New Roman" w:cs="Times New Roman"/>
          <w:b/>
        </w:rPr>
        <w:t>a) Hipótesis específica 02</w:t>
      </w:r>
    </w:p>
    <w:p w14:paraId="7B72CB72" w14:textId="77777777" w:rsidR="00657D48" w:rsidRDefault="003F3EEB">
      <w:pPr>
        <w:tabs>
          <w:tab w:val="left" w:pos="8222"/>
        </w:tabs>
        <w:spacing w:after="160"/>
        <w:ind w:left="426" w:hanging="426"/>
        <w:jc w:val="both"/>
        <w:rPr>
          <w:rFonts w:ascii="Times New Roman" w:eastAsia="Times New Roman" w:hAnsi="Times New Roman" w:cs="Times New Roman"/>
        </w:rPr>
      </w:pPr>
      <w:r>
        <w:rPr>
          <w:rFonts w:ascii="Times New Roman" w:eastAsia="Times New Roman" w:hAnsi="Times New Roman" w:cs="Times New Roman"/>
        </w:rPr>
        <w:t>Ha: El proceso de Preparación tiene relación significativa en las medidas de sensibilización en el Sector Defensa año 2021.</w:t>
      </w:r>
    </w:p>
    <w:p w14:paraId="7DF3D8A9" w14:textId="77777777" w:rsidR="00657D48" w:rsidRDefault="003F3EEB">
      <w:pPr>
        <w:tabs>
          <w:tab w:val="left" w:pos="8222"/>
        </w:tabs>
        <w:spacing w:after="160"/>
        <w:ind w:left="426" w:hanging="426"/>
        <w:jc w:val="both"/>
        <w:rPr>
          <w:rFonts w:ascii="Times New Roman" w:eastAsia="Times New Roman" w:hAnsi="Times New Roman" w:cs="Times New Roman"/>
        </w:rPr>
      </w:pPr>
      <w:r>
        <w:rPr>
          <w:rFonts w:ascii="Times New Roman" w:eastAsia="Times New Roman" w:hAnsi="Times New Roman" w:cs="Times New Roman"/>
        </w:rPr>
        <w:t>Ho: El proceso de Preparación no tiene relación significativa en las medidas de sensibilización en el Sector Defensa año 2021.</w:t>
      </w:r>
    </w:p>
    <w:p w14:paraId="1784096D" w14:textId="5683177A" w:rsidR="000401B3" w:rsidRPr="00AF3701" w:rsidRDefault="000401B3" w:rsidP="000401B3">
      <w:pPr>
        <w:pStyle w:val="Descripcin"/>
        <w:spacing w:after="80"/>
        <w:rPr>
          <w:rFonts w:ascii="Times New Roman" w:eastAsia="Times New Roman" w:hAnsi="Times New Roman" w:cs="Times New Roman"/>
          <w:b/>
          <w:i w:val="0"/>
          <w:color w:val="auto"/>
          <w:sz w:val="24"/>
        </w:rPr>
      </w:pPr>
      <w:bookmarkStart w:id="192" w:name="_3ep43zb" w:colFirst="0" w:colLast="0"/>
      <w:bookmarkStart w:id="193" w:name="_Toc116591673"/>
      <w:bookmarkEnd w:id="192"/>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16</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93"/>
    </w:p>
    <w:p w14:paraId="38FE58F8"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Correlación entre las variables de la hipótesis específica 2</w:t>
      </w:r>
    </w:p>
    <w:tbl>
      <w:tblPr>
        <w:tblStyle w:val="ae"/>
        <w:tblW w:w="7912" w:type="dxa"/>
        <w:tblInd w:w="0" w:type="dxa"/>
        <w:tblBorders>
          <w:top w:val="single" w:sz="4" w:space="0" w:color="000000"/>
          <w:bottom w:val="single" w:sz="4" w:space="0" w:color="000000"/>
        </w:tblBorders>
        <w:tblLayout w:type="fixed"/>
        <w:tblLook w:val="0000" w:firstRow="0" w:lastRow="0" w:firstColumn="0" w:lastColumn="0" w:noHBand="0" w:noVBand="0"/>
      </w:tblPr>
      <w:tblGrid>
        <w:gridCol w:w="1412"/>
        <w:gridCol w:w="1949"/>
        <w:gridCol w:w="2034"/>
        <w:gridCol w:w="2517"/>
      </w:tblGrid>
      <w:tr w:rsidR="00657D48" w14:paraId="791F17CB" w14:textId="77777777">
        <w:trPr>
          <w:cantSplit/>
          <w:trHeight w:val="454"/>
        </w:trPr>
        <w:tc>
          <w:tcPr>
            <w:tcW w:w="5395" w:type="dxa"/>
            <w:gridSpan w:val="3"/>
            <w:tcBorders>
              <w:top w:val="single" w:sz="4" w:space="0" w:color="000000"/>
              <w:bottom w:val="single" w:sz="4" w:space="0" w:color="000000"/>
            </w:tcBorders>
            <w:shd w:val="clear" w:color="auto" w:fill="auto"/>
            <w:vAlign w:val="center"/>
          </w:tcPr>
          <w:p w14:paraId="10A80766" w14:textId="77777777" w:rsidR="00657D48" w:rsidRDefault="00657D48">
            <w:pPr>
              <w:spacing w:after="0" w:line="240" w:lineRule="auto"/>
              <w:jc w:val="center"/>
              <w:rPr>
                <w:rFonts w:ascii="Times New Roman" w:eastAsia="Times New Roman" w:hAnsi="Times New Roman" w:cs="Times New Roman"/>
                <w:sz w:val="20"/>
                <w:szCs w:val="20"/>
              </w:rPr>
            </w:pPr>
          </w:p>
        </w:tc>
        <w:tc>
          <w:tcPr>
            <w:tcW w:w="2517" w:type="dxa"/>
            <w:tcBorders>
              <w:top w:val="single" w:sz="4" w:space="0" w:color="000000"/>
              <w:bottom w:val="single" w:sz="4" w:space="0" w:color="000000"/>
            </w:tcBorders>
            <w:shd w:val="clear" w:color="auto" w:fill="auto"/>
            <w:vAlign w:val="center"/>
          </w:tcPr>
          <w:p w14:paraId="19309DB6"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Sensibilización</w:t>
            </w:r>
          </w:p>
        </w:tc>
      </w:tr>
      <w:tr w:rsidR="00657D48" w14:paraId="2CA14273" w14:textId="77777777">
        <w:trPr>
          <w:cantSplit/>
          <w:trHeight w:val="454"/>
        </w:trPr>
        <w:tc>
          <w:tcPr>
            <w:tcW w:w="1412" w:type="dxa"/>
            <w:vMerge w:val="restart"/>
            <w:tcBorders>
              <w:top w:val="single" w:sz="4" w:space="0" w:color="000000"/>
            </w:tcBorders>
            <w:shd w:val="clear" w:color="auto" w:fill="auto"/>
            <w:vAlign w:val="center"/>
          </w:tcPr>
          <w:p w14:paraId="38E0CE4B"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Rho de Spearman</w:t>
            </w:r>
          </w:p>
        </w:tc>
        <w:tc>
          <w:tcPr>
            <w:tcW w:w="1949" w:type="dxa"/>
            <w:vMerge w:val="restart"/>
            <w:tcBorders>
              <w:top w:val="single" w:sz="4" w:space="0" w:color="000000"/>
            </w:tcBorders>
            <w:shd w:val="clear" w:color="auto" w:fill="auto"/>
            <w:vAlign w:val="center"/>
          </w:tcPr>
          <w:p w14:paraId="2356DD5A"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Preparación</w:t>
            </w:r>
          </w:p>
        </w:tc>
        <w:tc>
          <w:tcPr>
            <w:tcW w:w="2034" w:type="dxa"/>
            <w:tcBorders>
              <w:top w:val="single" w:sz="4" w:space="0" w:color="000000"/>
            </w:tcBorders>
            <w:shd w:val="clear" w:color="auto" w:fill="auto"/>
            <w:vAlign w:val="center"/>
          </w:tcPr>
          <w:p w14:paraId="567691D2"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Coeficiente de correlación</w:t>
            </w:r>
          </w:p>
        </w:tc>
        <w:tc>
          <w:tcPr>
            <w:tcW w:w="2517" w:type="dxa"/>
            <w:tcBorders>
              <w:top w:val="single" w:sz="4" w:space="0" w:color="000000"/>
            </w:tcBorders>
            <w:shd w:val="clear" w:color="auto" w:fill="auto"/>
            <w:vAlign w:val="center"/>
          </w:tcPr>
          <w:p w14:paraId="1DC5141C"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0.556</w:t>
            </w:r>
            <w:r>
              <w:rPr>
                <w:rFonts w:ascii="Times New Roman" w:eastAsia="Times New Roman" w:hAnsi="Times New Roman" w:cs="Times New Roman"/>
                <w:sz w:val="20"/>
                <w:szCs w:val="20"/>
                <w:vertAlign w:val="superscript"/>
              </w:rPr>
              <w:t>**</w:t>
            </w:r>
          </w:p>
        </w:tc>
      </w:tr>
      <w:tr w:rsidR="00657D48" w14:paraId="1A31EDDE" w14:textId="77777777">
        <w:trPr>
          <w:cantSplit/>
          <w:trHeight w:val="454"/>
        </w:trPr>
        <w:tc>
          <w:tcPr>
            <w:tcW w:w="1412" w:type="dxa"/>
            <w:vMerge/>
            <w:tcBorders>
              <w:top w:val="single" w:sz="4" w:space="0" w:color="000000"/>
            </w:tcBorders>
            <w:shd w:val="clear" w:color="auto" w:fill="auto"/>
            <w:vAlign w:val="center"/>
          </w:tcPr>
          <w:p w14:paraId="417F0C2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49" w:type="dxa"/>
            <w:vMerge/>
            <w:tcBorders>
              <w:top w:val="single" w:sz="4" w:space="0" w:color="000000"/>
            </w:tcBorders>
            <w:shd w:val="clear" w:color="auto" w:fill="auto"/>
            <w:vAlign w:val="center"/>
          </w:tcPr>
          <w:p w14:paraId="4202B805"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34" w:type="dxa"/>
            <w:shd w:val="clear" w:color="auto" w:fill="auto"/>
            <w:vAlign w:val="center"/>
          </w:tcPr>
          <w:p w14:paraId="7D5A6EF4"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 valor</w:t>
            </w:r>
          </w:p>
        </w:tc>
        <w:tc>
          <w:tcPr>
            <w:tcW w:w="2517" w:type="dxa"/>
            <w:shd w:val="clear" w:color="auto" w:fill="auto"/>
            <w:vAlign w:val="center"/>
          </w:tcPr>
          <w:p w14:paraId="115F905D"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657D48" w14:paraId="4A068CC5" w14:textId="77777777">
        <w:trPr>
          <w:cantSplit/>
          <w:trHeight w:val="454"/>
        </w:trPr>
        <w:tc>
          <w:tcPr>
            <w:tcW w:w="1412" w:type="dxa"/>
            <w:vMerge/>
            <w:tcBorders>
              <w:top w:val="single" w:sz="4" w:space="0" w:color="000000"/>
            </w:tcBorders>
            <w:shd w:val="clear" w:color="auto" w:fill="auto"/>
            <w:vAlign w:val="center"/>
          </w:tcPr>
          <w:p w14:paraId="087F2C5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49" w:type="dxa"/>
            <w:vMerge/>
            <w:tcBorders>
              <w:top w:val="single" w:sz="4" w:space="0" w:color="000000"/>
            </w:tcBorders>
            <w:shd w:val="clear" w:color="auto" w:fill="auto"/>
            <w:vAlign w:val="center"/>
          </w:tcPr>
          <w:p w14:paraId="11D43B5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34" w:type="dxa"/>
            <w:shd w:val="clear" w:color="auto" w:fill="auto"/>
            <w:vAlign w:val="center"/>
          </w:tcPr>
          <w:p w14:paraId="15F5C550"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w:t>
            </w:r>
          </w:p>
        </w:tc>
        <w:tc>
          <w:tcPr>
            <w:tcW w:w="2517" w:type="dxa"/>
            <w:shd w:val="clear" w:color="auto" w:fill="auto"/>
            <w:vAlign w:val="center"/>
          </w:tcPr>
          <w:p w14:paraId="109F4AD5"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r>
    </w:tbl>
    <w:p w14:paraId="78532EAA"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sz w:val="20"/>
          <w:szCs w:val="20"/>
        </w:rPr>
        <w:t>Nota. La correlación es significativa en el nivel 0,01 (p valor).</w:t>
      </w:r>
    </w:p>
    <w:p w14:paraId="2465DC49" w14:textId="5082A25B"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94" w:name="_zu0gcz" w:colFirst="0" w:colLast="0"/>
      <w:bookmarkStart w:id="195" w:name="_Toc116591703"/>
      <w:bookmarkEnd w:id="194"/>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11</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95"/>
    </w:p>
    <w:p w14:paraId="61DFA81E"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Dispersión de correlación las variables de la hipótesis específica 2</w:t>
      </w:r>
      <w:r>
        <w:rPr>
          <w:noProof/>
        </w:rPr>
        <w:drawing>
          <wp:anchor distT="0" distB="0" distL="114300" distR="114300" simplePos="0" relativeHeight="251672576" behindDoc="0" locked="0" layoutInCell="1" hidden="0" allowOverlap="1" wp14:anchorId="0DE7C690" wp14:editId="0FB94C0C">
            <wp:simplePos x="0" y="0"/>
            <wp:positionH relativeFrom="column">
              <wp:posOffset>1</wp:posOffset>
            </wp:positionH>
            <wp:positionV relativeFrom="paragraph">
              <wp:posOffset>198120</wp:posOffset>
            </wp:positionV>
            <wp:extent cx="4454525" cy="2362200"/>
            <wp:effectExtent l="0" t="0" r="0" b="0"/>
            <wp:wrapTopAndBottom distT="0" dist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l="17726" t="24111" r="20344" b="14204"/>
                    <a:stretch>
                      <a:fillRect/>
                    </a:stretch>
                  </pic:blipFill>
                  <pic:spPr>
                    <a:xfrm>
                      <a:off x="0" y="0"/>
                      <a:ext cx="4454525" cy="2362200"/>
                    </a:xfrm>
                    <a:prstGeom prst="rect">
                      <a:avLst/>
                    </a:prstGeom>
                    <a:ln/>
                  </pic:spPr>
                </pic:pic>
              </a:graphicData>
            </a:graphic>
          </wp:anchor>
        </w:drawing>
      </w:r>
    </w:p>
    <w:p w14:paraId="5C416229" w14:textId="77777777" w:rsidR="00657D48" w:rsidRDefault="003F3EEB">
      <w:pPr>
        <w:tabs>
          <w:tab w:val="left" w:pos="8222"/>
        </w:tabs>
        <w:spacing w:after="160"/>
        <w:ind w:left="425" w:hanging="4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Fuente: SPSS v. 25.</w:t>
      </w:r>
    </w:p>
    <w:p w14:paraId="535FA1E0" w14:textId="09361D70" w:rsidR="00657D48" w:rsidRDefault="00B37FF3">
      <w:pPr>
        <w:tabs>
          <w:tab w:val="left" w:pos="284"/>
          <w:tab w:val="left" w:pos="8222"/>
        </w:tabs>
        <w:ind w:firstLine="567"/>
        <w:jc w:val="both"/>
        <w:rPr>
          <w:rFonts w:ascii="Times New Roman" w:eastAsia="Times New Roman" w:hAnsi="Times New Roman" w:cs="Times New Roman"/>
        </w:rPr>
      </w:pPr>
      <w:r>
        <w:rPr>
          <w:rFonts w:ascii="Times New Roman" w:eastAsia="Times New Roman" w:hAnsi="Times New Roman" w:cs="Times New Roman"/>
        </w:rPr>
        <w:t>E</w:t>
      </w:r>
      <w:r w:rsidRPr="00B37FF3">
        <w:rPr>
          <w:rFonts w:ascii="Times New Roman" w:eastAsia="Times New Roman" w:hAnsi="Times New Roman" w:cs="Times New Roman"/>
        </w:rPr>
        <w:t>n la tabla 16, se visualiza un coeficiente de Rho=0.556, evidenciándose que el proceso de Preparación tiene relación positiva moderada con las medidas de sensibilización. Así mismo, al realizar la lectura del p valor que fue de 0.000 &lt; 0.050, se llegó a rechazar la hipótesis nula y se concluye que el proceso de</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preparación tendría relación significativa con las medidas de sensibilización en el Sector Defensa.</w:t>
      </w:r>
    </w:p>
    <w:p w14:paraId="16D1E632" w14:textId="77777777" w:rsidR="00657D48" w:rsidRDefault="003F3EEB">
      <w:pPr>
        <w:tabs>
          <w:tab w:val="left" w:pos="8222"/>
        </w:tabs>
        <w:spacing w:after="200"/>
        <w:jc w:val="both"/>
        <w:rPr>
          <w:rFonts w:ascii="Times New Roman" w:eastAsia="Times New Roman" w:hAnsi="Times New Roman" w:cs="Times New Roman"/>
          <w:b/>
        </w:rPr>
      </w:pPr>
      <w:r>
        <w:rPr>
          <w:rFonts w:ascii="Times New Roman" w:eastAsia="Times New Roman" w:hAnsi="Times New Roman" w:cs="Times New Roman"/>
          <w:b/>
        </w:rPr>
        <w:t>a) Hipótesis específica 03</w:t>
      </w:r>
    </w:p>
    <w:p w14:paraId="0D78BB26" w14:textId="77777777" w:rsidR="00657D48" w:rsidRDefault="003F3EEB">
      <w:pPr>
        <w:tabs>
          <w:tab w:val="left" w:pos="8222"/>
        </w:tabs>
        <w:spacing w:after="200"/>
        <w:ind w:left="426" w:hanging="426"/>
        <w:jc w:val="both"/>
        <w:rPr>
          <w:rFonts w:ascii="Times New Roman" w:eastAsia="Times New Roman" w:hAnsi="Times New Roman" w:cs="Times New Roman"/>
        </w:rPr>
      </w:pPr>
      <w:r>
        <w:rPr>
          <w:rFonts w:ascii="Times New Roman" w:eastAsia="Times New Roman" w:hAnsi="Times New Roman" w:cs="Times New Roman"/>
        </w:rPr>
        <w:t>Ha: El proceso de Respuesta tiene relación significativa en las medidas de implementación en el Sector Defensa año 2021</w:t>
      </w:r>
    </w:p>
    <w:p w14:paraId="6BB05002" w14:textId="77777777" w:rsidR="00657D48" w:rsidRDefault="003F3EEB">
      <w:pPr>
        <w:tabs>
          <w:tab w:val="left" w:pos="8222"/>
        </w:tabs>
        <w:spacing w:after="200"/>
        <w:ind w:left="426" w:hanging="426"/>
        <w:jc w:val="both"/>
        <w:rPr>
          <w:rFonts w:ascii="Times New Roman" w:eastAsia="Times New Roman" w:hAnsi="Times New Roman" w:cs="Times New Roman"/>
        </w:rPr>
      </w:pPr>
      <w:r>
        <w:rPr>
          <w:rFonts w:ascii="Times New Roman" w:eastAsia="Times New Roman" w:hAnsi="Times New Roman" w:cs="Times New Roman"/>
        </w:rPr>
        <w:t>Ho: El proceso de Respuesta no tiene relación significativa en las medidas de implementación en el Sector Defensa año 2021.</w:t>
      </w:r>
    </w:p>
    <w:p w14:paraId="6D12D2E0" w14:textId="6151E982" w:rsidR="000401B3" w:rsidRPr="00AF3701" w:rsidRDefault="000401B3" w:rsidP="000401B3">
      <w:pPr>
        <w:pStyle w:val="Descripcin"/>
        <w:spacing w:after="80"/>
        <w:rPr>
          <w:rFonts w:ascii="Times New Roman" w:eastAsia="Times New Roman" w:hAnsi="Times New Roman" w:cs="Times New Roman"/>
          <w:b/>
          <w:i w:val="0"/>
          <w:color w:val="auto"/>
          <w:sz w:val="24"/>
        </w:rPr>
      </w:pPr>
      <w:bookmarkStart w:id="196" w:name="_1tuee74" w:colFirst="0" w:colLast="0"/>
      <w:bookmarkStart w:id="197" w:name="_Toc116591674"/>
      <w:bookmarkEnd w:id="196"/>
      <w:r w:rsidRPr="00AF3701">
        <w:rPr>
          <w:rFonts w:ascii="Times New Roman" w:hAnsi="Times New Roman" w:cs="Times New Roman"/>
          <w:b/>
          <w:i w:val="0"/>
          <w:color w:val="auto"/>
          <w:sz w:val="24"/>
        </w:rPr>
        <w:t xml:space="preserve">Tabla </w:t>
      </w:r>
      <w:r w:rsidRPr="00AF3701">
        <w:rPr>
          <w:rFonts w:ascii="Times New Roman" w:hAnsi="Times New Roman" w:cs="Times New Roman"/>
          <w:b/>
          <w:i w:val="0"/>
          <w:color w:val="auto"/>
          <w:sz w:val="24"/>
        </w:rPr>
        <w:fldChar w:fldCharType="begin"/>
      </w:r>
      <w:r w:rsidRPr="00AF3701">
        <w:rPr>
          <w:rFonts w:ascii="Times New Roman" w:hAnsi="Times New Roman" w:cs="Times New Roman"/>
          <w:b/>
          <w:i w:val="0"/>
          <w:color w:val="auto"/>
          <w:sz w:val="24"/>
        </w:rPr>
        <w:instrText xml:space="preserve"> SEQ Tabla \* ARABIC </w:instrText>
      </w:r>
      <w:r w:rsidRPr="00AF3701">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17</w:t>
      </w:r>
      <w:r w:rsidRPr="00AF3701">
        <w:rPr>
          <w:rFonts w:ascii="Times New Roman" w:hAnsi="Times New Roman" w:cs="Times New Roman"/>
          <w:b/>
          <w:i w:val="0"/>
          <w:color w:val="auto"/>
          <w:sz w:val="24"/>
        </w:rPr>
        <w:fldChar w:fldCharType="end"/>
      </w:r>
      <w:r w:rsidRPr="00AF3701">
        <w:rPr>
          <w:rFonts w:ascii="Times New Roman" w:eastAsia="Times New Roman" w:hAnsi="Times New Roman" w:cs="Times New Roman"/>
          <w:b/>
          <w:i w:val="0"/>
          <w:color w:val="auto"/>
          <w:sz w:val="24"/>
        </w:rPr>
        <w:t>.</w:t>
      </w:r>
      <w:bookmarkEnd w:id="197"/>
    </w:p>
    <w:p w14:paraId="4D8A4DB6"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Correlación entre las variables de la hipótesis específica 3</w:t>
      </w:r>
    </w:p>
    <w:tbl>
      <w:tblPr>
        <w:tblStyle w:val="af"/>
        <w:tblW w:w="7958" w:type="dxa"/>
        <w:tblInd w:w="0" w:type="dxa"/>
        <w:tblBorders>
          <w:top w:val="single" w:sz="4" w:space="0" w:color="000000"/>
          <w:bottom w:val="single" w:sz="4" w:space="0" w:color="000000"/>
        </w:tblBorders>
        <w:tblLayout w:type="fixed"/>
        <w:tblLook w:val="0000" w:firstRow="0" w:lastRow="0" w:firstColumn="0" w:lastColumn="0" w:noHBand="0" w:noVBand="0"/>
      </w:tblPr>
      <w:tblGrid>
        <w:gridCol w:w="1420"/>
        <w:gridCol w:w="1960"/>
        <w:gridCol w:w="2046"/>
        <w:gridCol w:w="2532"/>
      </w:tblGrid>
      <w:tr w:rsidR="00657D48" w14:paraId="02F64633" w14:textId="77777777">
        <w:trPr>
          <w:cantSplit/>
          <w:trHeight w:val="454"/>
        </w:trPr>
        <w:tc>
          <w:tcPr>
            <w:tcW w:w="5426" w:type="dxa"/>
            <w:gridSpan w:val="3"/>
            <w:tcBorders>
              <w:top w:val="single" w:sz="4" w:space="0" w:color="000000"/>
              <w:bottom w:val="single" w:sz="4" w:space="0" w:color="000000"/>
            </w:tcBorders>
            <w:shd w:val="clear" w:color="auto" w:fill="auto"/>
            <w:vAlign w:val="center"/>
          </w:tcPr>
          <w:p w14:paraId="4DD42552" w14:textId="77777777" w:rsidR="00657D48" w:rsidRDefault="00657D48">
            <w:pPr>
              <w:spacing w:after="0" w:line="240" w:lineRule="auto"/>
              <w:jc w:val="center"/>
              <w:rPr>
                <w:rFonts w:ascii="Times New Roman" w:eastAsia="Times New Roman" w:hAnsi="Times New Roman" w:cs="Times New Roman"/>
                <w:sz w:val="20"/>
                <w:szCs w:val="20"/>
              </w:rPr>
            </w:pPr>
          </w:p>
        </w:tc>
        <w:tc>
          <w:tcPr>
            <w:tcW w:w="2532" w:type="dxa"/>
            <w:tcBorders>
              <w:top w:val="single" w:sz="4" w:space="0" w:color="000000"/>
              <w:bottom w:val="single" w:sz="4" w:space="0" w:color="000000"/>
            </w:tcBorders>
            <w:shd w:val="clear" w:color="auto" w:fill="auto"/>
            <w:vAlign w:val="center"/>
          </w:tcPr>
          <w:p w14:paraId="5EA88B56"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Implementación</w:t>
            </w:r>
          </w:p>
        </w:tc>
      </w:tr>
      <w:tr w:rsidR="00657D48" w14:paraId="07154541" w14:textId="77777777">
        <w:trPr>
          <w:cantSplit/>
          <w:trHeight w:val="454"/>
        </w:trPr>
        <w:tc>
          <w:tcPr>
            <w:tcW w:w="1420" w:type="dxa"/>
            <w:vMerge w:val="restart"/>
            <w:tcBorders>
              <w:top w:val="single" w:sz="4" w:space="0" w:color="000000"/>
            </w:tcBorders>
            <w:shd w:val="clear" w:color="auto" w:fill="auto"/>
            <w:vAlign w:val="center"/>
          </w:tcPr>
          <w:p w14:paraId="3CEFD1D8"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Rho de Spearman</w:t>
            </w:r>
          </w:p>
        </w:tc>
        <w:tc>
          <w:tcPr>
            <w:tcW w:w="1960" w:type="dxa"/>
            <w:vMerge w:val="restart"/>
            <w:tcBorders>
              <w:top w:val="single" w:sz="4" w:space="0" w:color="000000"/>
            </w:tcBorders>
            <w:shd w:val="clear" w:color="auto" w:fill="auto"/>
            <w:vAlign w:val="center"/>
          </w:tcPr>
          <w:p w14:paraId="5752119A"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Proceso de Respuesta</w:t>
            </w:r>
          </w:p>
        </w:tc>
        <w:tc>
          <w:tcPr>
            <w:tcW w:w="2046" w:type="dxa"/>
            <w:tcBorders>
              <w:top w:val="single" w:sz="4" w:space="0" w:color="000000"/>
            </w:tcBorders>
            <w:shd w:val="clear" w:color="auto" w:fill="auto"/>
            <w:vAlign w:val="center"/>
          </w:tcPr>
          <w:p w14:paraId="027A3264"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Coeficiente de correlación</w:t>
            </w:r>
          </w:p>
        </w:tc>
        <w:tc>
          <w:tcPr>
            <w:tcW w:w="2532" w:type="dxa"/>
            <w:tcBorders>
              <w:top w:val="single" w:sz="4" w:space="0" w:color="000000"/>
            </w:tcBorders>
            <w:shd w:val="clear" w:color="auto" w:fill="auto"/>
            <w:vAlign w:val="center"/>
          </w:tcPr>
          <w:p w14:paraId="24EBD9F5"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0.600</w:t>
            </w:r>
            <w:r>
              <w:rPr>
                <w:rFonts w:ascii="Times New Roman" w:eastAsia="Times New Roman" w:hAnsi="Times New Roman" w:cs="Times New Roman"/>
                <w:sz w:val="20"/>
                <w:szCs w:val="20"/>
                <w:vertAlign w:val="superscript"/>
              </w:rPr>
              <w:t>**</w:t>
            </w:r>
          </w:p>
        </w:tc>
      </w:tr>
      <w:tr w:rsidR="00657D48" w14:paraId="20E473F5" w14:textId="77777777">
        <w:trPr>
          <w:cantSplit/>
          <w:trHeight w:val="454"/>
        </w:trPr>
        <w:tc>
          <w:tcPr>
            <w:tcW w:w="1420" w:type="dxa"/>
            <w:vMerge/>
            <w:tcBorders>
              <w:top w:val="single" w:sz="4" w:space="0" w:color="000000"/>
            </w:tcBorders>
            <w:shd w:val="clear" w:color="auto" w:fill="auto"/>
            <w:vAlign w:val="center"/>
          </w:tcPr>
          <w:p w14:paraId="560E9066"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60" w:type="dxa"/>
            <w:vMerge/>
            <w:tcBorders>
              <w:top w:val="single" w:sz="4" w:space="0" w:color="000000"/>
            </w:tcBorders>
            <w:shd w:val="clear" w:color="auto" w:fill="auto"/>
            <w:vAlign w:val="center"/>
          </w:tcPr>
          <w:p w14:paraId="07C68554"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6" w:type="dxa"/>
            <w:shd w:val="clear" w:color="auto" w:fill="auto"/>
            <w:vAlign w:val="center"/>
          </w:tcPr>
          <w:p w14:paraId="65F5AD0C"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 valor</w:t>
            </w:r>
          </w:p>
        </w:tc>
        <w:tc>
          <w:tcPr>
            <w:tcW w:w="2532" w:type="dxa"/>
            <w:shd w:val="clear" w:color="auto" w:fill="auto"/>
            <w:vAlign w:val="center"/>
          </w:tcPr>
          <w:p w14:paraId="1CFC94C8"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r w:rsidR="00657D48" w14:paraId="58AC10B5" w14:textId="77777777">
        <w:trPr>
          <w:cantSplit/>
          <w:trHeight w:val="454"/>
        </w:trPr>
        <w:tc>
          <w:tcPr>
            <w:tcW w:w="1420" w:type="dxa"/>
            <w:vMerge/>
            <w:tcBorders>
              <w:top w:val="single" w:sz="4" w:space="0" w:color="000000"/>
            </w:tcBorders>
            <w:shd w:val="clear" w:color="auto" w:fill="auto"/>
            <w:vAlign w:val="center"/>
          </w:tcPr>
          <w:p w14:paraId="7741336D"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960" w:type="dxa"/>
            <w:vMerge/>
            <w:tcBorders>
              <w:top w:val="single" w:sz="4" w:space="0" w:color="000000"/>
            </w:tcBorders>
            <w:shd w:val="clear" w:color="auto" w:fill="auto"/>
            <w:vAlign w:val="center"/>
          </w:tcPr>
          <w:p w14:paraId="1B5EC9FF"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046" w:type="dxa"/>
            <w:shd w:val="clear" w:color="auto" w:fill="auto"/>
            <w:vAlign w:val="center"/>
          </w:tcPr>
          <w:p w14:paraId="1E77F69C"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w:t>
            </w:r>
          </w:p>
        </w:tc>
        <w:tc>
          <w:tcPr>
            <w:tcW w:w="2532" w:type="dxa"/>
            <w:shd w:val="clear" w:color="auto" w:fill="auto"/>
            <w:vAlign w:val="center"/>
          </w:tcPr>
          <w:p w14:paraId="7B3C7045" w14:textId="77777777" w:rsidR="00657D48" w:rsidRDefault="003F3EEB">
            <w:pPr>
              <w:spacing w:after="0" w:line="240" w:lineRule="auto"/>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383</w:t>
            </w:r>
          </w:p>
        </w:tc>
      </w:tr>
    </w:tbl>
    <w:p w14:paraId="5C09E384" w14:textId="77777777" w:rsidR="00657D48" w:rsidRDefault="003F3EEB">
      <w:pPr>
        <w:spacing w:after="200"/>
        <w:rPr>
          <w:rFonts w:ascii="Times New Roman" w:eastAsia="Times New Roman" w:hAnsi="Times New Roman" w:cs="Times New Roman"/>
          <w:sz w:val="20"/>
          <w:szCs w:val="20"/>
        </w:rPr>
      </w:pPr>
      <w:r>
        <w:rPr>
          <w:rFonts w:ascii="Times New Roman" w:eastAsia="Times New Roman" w:hAnsi="Times New Roman" w:cs="Times New Roman"/>
          <w:sz w:val="20"/>
          <w:szCs w:val="20"/>
        </w:rPr>
        <w:t>Nota. La correlación es significativa en el nivel 0.01 (p valor).</w:t>
      </w:r>
    </w:p>
    <w:p w14:paraId="13548943" w14:textId="27FEC90A" w:rsidR="000401B3" w:rsidRPr="000401B3" w:rsidRDefault="000401B3" w:rsidP="000401B3">
      <w:pPr>
        <w:pStyle w:val="Descripcin"/>
        <w:spacing w:after="100"/>
        <w:rPr>
          <w:rFonts w:ascii="Times New Roman" w:eastAsia="Times New Roman" w:hAnsi="Times New Roman" w:cs="Times New Roman"/>
          <w:b/>
          <w:i w:val="0"/>
          <w:color w:val="auto"/>
          <w:sz w:val="24"/>
        </w:rPr>
      </w:pPr>
      <w:bookmarkStart w:id="198" w:name="_3jtnz0s" w:colFirst="0" w:colLast="0"/>
      <w:bookmarkStart w:id="199" w:name="_Toc116591704"/>
      <w:bookmarkEnd w:id="198"/>
      <w:r w:rsidRPr="000401B3">
        <w:rPr>
          <w:rFonts w:ascii="Times New Roman" w:hAnsi="Times New Roman" w:cs="Times New Roman"/>
          <w:b/>
          <w:i w:val="0"/>
          <w:color w:val="auto"/>
          <w:sz w:val="24"/>
        </w:rPr>
        <w:t xml:space="preserve">Figura </w:t>
      </w:r>
      <w:r w:rsidRPr="000401B3">
        <w:rPr>
          <w:rFonts w:ascii="Times New Roman" w:hAnsi="Times New Roman" w:cs="Times New Roman"/>
          <w:b/>
          <w:i w:val="0"/>
          <w:color w:val="auto"/>
          <w:sz w:val="24"/>
        </w:rPr>
        <w:fldChar w:fldCharType="begin"/>
      </w:r>
      <w:r w:rsidRPr="000401B3">
        <w:rPr>
          <w:rFonts w:ascii="Times New Roman" w:hAnsi="Times New Roman" w:cs="Times New Roman"/>
          <w:b/>
          <w:i w:val="0"/>
          <w:color w:val="auto"/>
          <w:sz w:val="24"/>
        </w:rPr>
        <w:instrText xml:space="preserve"> SEQ Figura \* ARABIC </w:instrText>
      </w:r>
      <w:r w:rsidRPr="000401B3">
        <w:rPr>
          <w:rFonts w:ascii="Times New Roman" w:hAnsi="Times New Roman" w:cs="Times New Roman"/>
          <w:b/>
          <w:i w:val="0"/>
          <w:color w:val="auto"/>
          <w:sz w:val="24"/>
        </w:rPr>
        <w:fldChar w:fldCharType="separate"/>
      </w:r>
      <w:r w:rsidR="002D22AA">
        <w:rPr>
          <w:rFonts w:ascii="Times New Roman" w:hAnsi="Times New Roman" w:cs="Times New Roman"/>
          <w:b/>
          <w:i w:val="0"/>
          <w:noProof/>
          <w:color w:val="auto"/>
          <w:sz w:val="24"/>
        </w:rPr>
        <w:t>12</w:t>
      </w:r>
      <w:r w:rsidRPr="000401B3">
        <w:rPr>
          <w:rFonts w:ascii="Times New Roman" w:hAnsi="Times New Roman" w:cs="Times New Roman"/>
          <w:b/>
          <w:i w:val="0"/>
          <w:color w:val="auto"/>
          <w:sz w:val="24"/>
        </w:rPr>
        <w:fldChar w:fldCharType="end"/>
      </w:r>
      <w:r w:rsidRPr="000401B3">
        <w:rPr>
          <w:rFonts w:ascii="Times New Roman" w:eastAsia="Times New Roman" w:hAnsi="Times New Roman" w:cs="Times New Roman"/>
          <w:b/>
          <w:i w:val="0"/>
          <w:color w:val="auto"/>
          <w:sz w:val="24"/>
        </w:rPr>
        <w:t>.</w:t>
      </w:r>
      <w:bookmarkEnd w:id="199"/>
    </w:p>
    <w:p w14:paraId="3EEC2B63" w14:textId="77777777" w:rsidR="00657D48" w:rsidRDefault="003F3EEB">
      <w:pPr>
        <w:spacing w:after="0"/>
        <w:rPr>
          <w:rFonts w:ascii="Times New Roman" w:eastAsia="Times New Roman" w:hAnsi="Times New Roman" w:cs="Times New Roman"/>
          <w:i/>
        </w:rPr>
      </w:pPr>
      <w:r>
        <w:rPr>
          <w:rFonts w:ascii="Times New Roman" w:eastAsia="Times New Roman" w:hAnsi="Times New Roman" w:cs="Times New Roman"/>
          <w:i/>
        </w:rPr>
        <w:t>Dispersión de correlación las variables de la hipótesis específica 3</w:t>
      </w:r>
    </w:p>
    <w:p w14:paraId="054951BB" w14:textId="77777777" w:rsidR="00657D48" w:rsidRDefault="003F3EEB">
      <w:pPr>
        <w:spacing w:after="0" w:line="240" w:lineRule="auto"/>
        <w:rPr>
          <w:rFonts w:ascii="Times New Roman" w:eastAsia="Times New Roman" w:hAnsi="Times New Roman" w:cs="Times New Roman"/>
        </w:rPr>
      </w:pPr>
      <w:r>
        <w:rPr>
          <w:noProof/>
        </w:rPr>
        <w:drawing>
          <wp:inline distT="0" distB="0" distL="0" distR="0" wp14:anchorId="52A711A5" wp14:editId="6E5CC400">
            <wp:extent cx="4465829" cy="2349096"/>
            <wp:effectExtent l="9525" t="9525" r="9525" b="9525"/>
            <wp:docPr id="2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9"/>
                    <a:srcRect l="17858" t="24807" r="20481" b="15552"/>
                    <a:stretch>
                      <a:fillRect/>
                    </a:stretch>
                  </pic:blipFill>
                  <pic:spPr>
                    <a:xfrm>
                      <a:off x="0" y="0"/>
                      <a:ext cx="4465829" cy="2349096"/>
                    </a:xfrm>
                    <a:prstGeom prst="rect">
                      <a:avLst/>
                    </a:prstGeom>
                    <a:ln w="9525">
                      <a:solidFill>
                        <a:srgbClr val="000000"/>
                      </a:solidFill>
                      <a:prstDash val="solid"/>
                    </a:ln>
                  </pic:spPr>
                </pic:pic>
              </a:graphicData>
            </a:graphic>
          </wp:inline>
        </w:drawing>
      </w:r>
    </w:p>
    <w:p w14:paraId="68D13877" w14:textId="77777777" w:rsidR="00657D48" w:rsidRDefault="003F3EEB">
      <w:pPr>
        <w:tabs>
          <w:tab w:val="left" w:pos="8222"/>
        </w:tabs>
        <w:spacing w:after="160"/>
        <w:ind w:left="425" w:hanging="4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Fuente: SPSS v. 25.</w:t>
      </w:r>
    </w:p>
    <w:p w14:paraId="3D701CA6" w14:textId="79DC4C13" w:rsidR="00657D48" w:rsidRDefault="00B37FF3">
      <w:pPr>
        <w:tabs>
          <w:tab w:val="left" w:pos="284"/>
          <w:tab w:val="left" w:pos="8222"/>
        </w:tabs>
        <w:ind w:firstLine="567"/>
        <w:jc w:val="both"/>
        <w:rPr>
          <w:rFonts w:ascii="Times New Roman" w:eastAsia="Times New Roman" w:hAnsi="Times New Roman" w:cs="Times New Roman"/>
        </w:rPr>
        <w:sectPr w:rsidR="00657D48">
          <w:footerReference w:type="default" r:id="rId30"/>
          <w:pgSz w:w="11906" w:h="16838"/>
          <w:pgMar w:top="1701" w:right="1701" w:bottom="1701" w:left="2268" w:header="709" w:footer="709" w:gutter="0"/>
          <w:cols w:space="720"/>
        </w:sectPr>
      </w:pPr>
      <w:r w:rsidRPr="00B37FF3">
        <w:rPr>
          <w:rFonts w:ascii="Times New Roman" w:eastAsia="Times New Roman" w:hAnsi="Times New Roman" w:cs="Times New Roman"/>
        </w:rPr>
        <w:t>En la tabla 14, se visualiza un coeficiente de Rho=0.600, evidenciándose que el proceso de Respuesta tiene relación positiva fuerte con las medidas de implementación. Así mismo, al realizar la lectura del p valor que fue de 0.000 &lt;</w:t>
      </w:r>
      <w:r>
        <w:rPr>
          <w:rFonts w:ascii="Times New Roman" w:eastAsia="Times New Roman" w:hAnsi="Times New Roman" w:cs="Times New Roman"/>
        </w:rPr>
        <w:t xml:space="preserve"> </w:t>
      </w:r>
      <w:r w:rsidRPr="00B37FF3">
        <w:rPr>
          <w:rFonts w:ascii="Times New Roman" w:eastAsia="Times New Roman" w:hAnsi="Times New Roman" w:cs="Times New Roman"/>
        </w:rPr>
        <w:lastRenderedPageBreak/>
        <w:t>0.05, se llegó a rechazar la hipótesis nula y se concluye que el proceso de respuesta tendría relación significativa con las medidas de implementación en el Sector Defensa.</w:t>
      </w:r>
    </w:p>
    <w:p w14:paraId="1107E9F8" w14:textId="3988626C" w:rsidR="00657D48" w:rsidRPr="00F903C1" w:rsidRDefault="003F3EEB" w:rsidP="00F903C1">
      <w:pPr>
        <w:pStyle w:val="Ttulo1"/>
      </w:pPr>
      <w:bookmarkStart w:id="200" w:name="_Toc117518946"/>
      <w:r w:rsidRPr="00F903C1">
        <w:lastRenderedPageBreak/>
        <w:t>CAPÍTULO VI</w:t>
      </w:r>
      <w:bookmarkEnd w:id="200"/>
    </w:p>
    <w:p w14:paraId="77A78484" w14:textId="73BD0368" w:rsidR="00657D48" w:rsidRPr="00F903C1" w:rsidRDefault="003F3EEB" w:rsidP="00F903C1">
      <w:pPr>
        <w:pStyle w:val="Ttulo1"/>
      </w:pPr>
      <w:bookmarkStart w:id="201" w:name="_Toc117518947"/>
      <w:r w:rsidRPr="00F903C1">
        <w:t>Discusión de resultados</w:t>
      </w:r>
      <w:bookmarkEnd w:id="201"/>
    </w:p>
    <w:p w14:paraId="7093A959" w14:textId="3C784621" w:rsidR="00657D48" w:rsidRDefault="00B37FF3">
      <w:pPr>
        <w:tabs>
          <w:tab w:val="left" w:pos="8222"/>
        </w:tabs>
        <w:spacing w:after="200"/>
        <w:jc w:val="both"/>
        <w:rPr>
          <w:rFonts w:ascii="Times New Roman" w:eastAsia="Times New Roman" w:hAnsi="Times New Roman" w:cs="Times New Roman"/>
        </w:rPr>
      </w:pPr>
      <w:r w:rsidRPr="00B37FF3">
        <w:rPr>
          <w:rFonts w:ascii="Times New Roman" w:eastAsia="Times New Roman" w:hAnsi="Times New Roman" w:cs="Times New Roman"/>
        </w:rPr>
        <w:t xml:space="preserve">El objetivo propuesto en la investigación fue determinar si la Gestión del Riesgo de Desastres en los procesos de Reducción del Riesgo, Preparación y Respuesta se relaciona con las competencias en el Sector Defensa año 2021. Al desarrollar los análisis estadísticos se obtuvo un coeficiente de Rho = 0.636 y un p = 0.000 que demuestra que ambas variables presentan relación estadísticamente </w:t>
      </w:r>
      <w:r w:rsidRPr="00B37FF3">
        <w:rPr>
          <w:rFonts w:ascii="Times New Roman" w:eastAsia="Times New Roman" w:hAnsi="Times New Roman" w:cs="Times New Roman"/>
          <w:b/>
        </w:rPr>
        <w:t>significativa</w:t>
      </w:r>
      <w:r w:rsidRPr="00B37FF3">
        <w:rPr>
          <w:rFonts w:ascii="Times New Roman" w:eastAsia="Times New Roman" w:hAnsi="Times New Roman" w:cs="Times New Roman"/>
        </w:rPr>
        <w:t xml:space="preserve">, de tipo </w:t>
      </w:r>
      <w:r w:rsidRPr="00B37FF3">
        <w:rPr>
          <w:rFonts w:ascii="Times New Roman" w:eastAsia="Times New Roman" w:hAnsi="Times New Roman" w:cs="Times New Roman"/>
          <w:b/>
        </w:rPr>
        <w:t xml:space="preserve">positiva </w:t>
      </w:r>
      <w:r w:rsidRPr="00B37FF3">
        <w:rPr>
          <w:rFonts w:ascii="Times New Roman" w:eastAsia="Times New Roman" w:hAnsi="Times New Roman" w:cs="Times New Roman"/>
        </w:rPr>
        <w:t xml:space="preserve">y de grado </w:t>
      </w:r>
      <w:r w:rsidRPr="00B37FF3">
        <w:rPr>
          <w:rFonts w:ascii="Times New Roman" w:eastAsia="Times New Roman" w:hAnsi="Times New Roman" w:cs="Times New Roman"/>
          <w:b/>
        </w:rPr>
        <w:t>fuerte</w:t>
      </w:r>
      <w:r w:rsidRPr="00B37FF3">
        <w:rPr>
          <w:rFonts w:ascii="Times New Roman" w:eastAsia="Times New Roman" w:hAnsi="Times New Roman" w:cs="Times New Roman"/>
        </w:rPr>
        <w:t>; con ello se puede inferir que mientras más adecuada sea la Gestión del Riesgo de Desastres, más eficiente será las competencias en el Sector Defensa. Dicho hallazgo es similar al obtenido por Quispe (2022), en su investigación sobre Gestión del Riesgo de Desastres y eficiencia operativa en la Primera Brigada de Caballería, llegó a demostrar que existe relación directa y significativa entre la Gestión del Riesgo de Desastres y la eficiencia operativa, evidenciado en la prueba Rho de Spearman con un coeficiente de 0.609 y un p valor de 0.000.</w:t>
      </w:r>
    </w:p>
    <w:p w14:paraId="6BD49CA9" w14:textId="763C9308" w:rsidR="00657D48" w:rsidRDefault="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 xml:space="preserve">También Vicuña (2021), en su investigación se propuso establecer que la Gestión del Riesgo de Desastres se relaciona con las competencias profesionales del Batallón de Ingeniería de Construcción No 1 de Jazán, en su análisis estadístico realizada con la prueba Rho de Spearman, encontró como resultado un Rho= 0.673 y un p = 0.000; lo cual le permitió inferir que existe correlación positiva </w:t>
      </w:r>
      <w:r w:rsidR="00DD4F2B">
        <w:rPr>
          <w:rFonts w:ascii="Times New Roman" w:eastAsia="Times New Roman" w:hAnsi="Times New Roman" w:cs="Times New Roman"/>
        </w:rPr>
        <w:t>fuerte</w:t>
      </w:r>
      <w:r w:rsidRPr="00A43C4B">
        <w:rPr>
          <w:rFonts w:ascii="Times New Roman" w:eastAsia="Times New Roman" w:hAnsi="Times New Roman" w:cs="Times New Roman"/>
        </w:rPr>
        <w:t xml:space="preserve"> entre la Gestión del Riesgo de Desastres y las competencias profesionales del Batallón.</w:t>
      </w:r>
    </w:p>
    <w:p w14:paraId="568AFDCC" w14:textId="4BC708D5" w:rsidR="00657D48" w:rsidRDefault="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Tales hallazgos, se refuerzan con el aporte de Bernabe (2021), en su indagación llegó a demostrar que la Gestión del Riesgo de Desastres incide de manera positiva y fuerte sobre la capacidad de respuesta ante emergencia por parte de Defensa Civil, a través de la prueba Rho Spearman donde se encontró un coeficiente de 0.988 y un p = 0.000. Con ello, el autor llegó a deducir como aporte que la implementación de una adecuada Gestión del Riesgo de Desastres tendría efectos positivos en la mejora de la capacidad de respuesta ante desastres.</w:t>
      </w:r>
    </w:p>
    <w:p w14:paraId="2D37656F" w14:textId="688A25DA" w:rsidR="00657D48" w:rsidRDefault="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 xml:space="preserve">Cada uno de los hallazgos citados confirman que mientras más adecuada sea la Gestión del Riesgo de Desastres; más eficiente serán las competencias en el </w:t>
      </w:r>
      <w:r w:rsidRPr="00A43C4B">
        <w:rPr>
          <w:rFonts w:ascii="Times New Roman" w:eastAsia="Times New Roman" w:hAnsi="Times New Roman" w:cs="Times New Roman"/>
        </w:rPr>
        <w:lastRenderedPageBreak/>
        <w:t>Sector Defensa. Al contrastar estos resultados con la teoría, donde se define la Gestión del Riesgo de Desastres como un proceso social que tiene como principio la reducción, prevención y control de los riesgos que representan un desastre para la sociedad (Narváez, et al., 2009). Claramente, tener una Gestión del Riesgo de Desastres como herramienta técnica, la cual contiene las acciones estratégicas que se deben tomar ante emergencias o desastres. En efecto, esto permitirá que el Sector Defensa cumpla con su rol social de manera eficiente; sin embargo, las competencias del Sector Defensa no sólo se limita a participar sólo en episodios catastróficos ocurridos; su intervención o competencias tal como se tipifica en la Directiva N° 021-2020- DE/SG/VPD/DIGEPE/DIRMOV, le faculta a desarrollar actividades destinadas a la identificación y reducción de los peligros ambientales existentes; así como menguar secuelas e impedir la producción de nuevos peligros. Es así que como aporte de la investigación se podría inferir que el Sector Defensa debe diseñar procesos concretos en la gestión de riesgo de desastre que, a la vez, permitirá estructurar sub-procesos que facilitarán las acciones de Reducción de Riesgo, Preparación y Respuesta como parte de sus competencias de controlar y reducir los factores de riesgo de fenómenos naturales.</w:t>
      </w:r>
    </w:p>
    <w:p w14:paraId="413B237F" w14:textId="3E5C91DC" w:rsidR="00657D48" w:rsidRDefault="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Lo ocurrido en el terremoto del 2007, fue un caso precedente que vislumbró las debilidades del Estado y del Sector Defensa para hacer frente a las emergencias ante fenómenos naturales, hubo una deficiente gestión de riesgo y, por ello, las competencias del Sector Defensa eran débiles. A partir de ese episodio se creó el SINAGERD (Sistema Nacional de Gestión de Riesgo de Desastres), mediante el cual el Sector Defensa participa de forma directa en los desastres de origen natural, esencialmente en los procesos de respuesta y preparación; lo cual está regulado en la Ley Nº 29664 (Alarcón et al., 2016).</w:t>
      </w:r>
    </w:p>
    <w:p w14:paraId="14CDA69E" w14:textId="203D6994" w:rsidR="00657D48" w:rsidRDefault="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 xml:space="preserve">En los resultados obtenidos de la hipótesis específica 1, se verifica que el proceso de reducción del riesgo se relaciona con las medidas de socialización en el Sector Defensa, se muestra en la prueba de Rho de Spearman un coeficiente de 0.629 y p=0.000, lo cual comprueba que existe correlación de tipo </w:t>
      </w:r>
      <w:r w:rsidRPr="00A43C4B">
        <w:rPr>
          <w:rFonts w:ascii="Times New Roman" w:eastAsia="Times New Roman" w:hAnsi="Times New Roman" w:cs="Times New Roman"/>
          <w:b/>
        </w:rPr>
        <w:t>positiva</w:t>
      </w:r>
      <w:r w:rsidRPr="00A43C4B">
        <w:rPr>
          <w:rFonts w:ascii="Times New Roman" w:eastAsia="Times New Roman" w:hAnsi="Times New Roman" w:cs="Times New Roman"/>
        </w:rPr>
        <w:t xml:space="preserve"> y de</w:t>
      </w:r>
      <w:r w:rsidRPr="00A43C4B">
        <w:t xml:space="preserve"> </w:t>
      </w:r>
      <w:r w:rsidRPr="00A43C4B">
        <w:rPr>
          <w:rFonts w:ascii="Times New Roman" w:eastAsia="Times New Roman" w:hAnsi="Times New Roman" w:cs="Times New Roman"/>
          <w:b/>
        </w:rPr>
        <w:t xml:space="preserve">grado </w:t>
      </w:r>
      <w:r w:rsidR="00DD4F2B">
        <w:rPr>
          <w:rFonts w:ascii="Times New Roman" w:eastAsia="Times New Roman" w:hAnsi="Times New Roman" w:cs="Times New Roman"/>
          <w:b/>
        </w:rPr>
        <w:t>moderado</w:t>
      </w:r>
      <w:r w:rsidRPr="00A43C4B">
        <w:rPr>
          <w:rFonts w:ascii="Times New Roman" w:eastAsia="Times New Roman" w:hAnsi="Times New Roman" w:cs="Times New Roman"/>
          <w:b/>
        </w:rPr>
        <w:t>,</w:t>
      </w:r>
      <w:r w:rsidRPr="00A43C4B">
        <w:rPr>
          <w:rFonts w:ascii="Times New Roman" w:eastAsia="Times New Roman" w:hAnsi="Times New Roman" w:cs="Times New Roman"/>
        </w:rPr>
        <w:t xml:space="preserve"> esto lleva a deducir que la adecuada gestión del proceso de Reducción de riesgo permite que sea más eficiente las medidas de socialización en </w:t>
      </w:r>
      <w:r w:rsidRPr="00A43C4B">
        <w:rPr>
          <w:rFonts w:ascii="Times New Roman" w:eastAsia="Times New Roman" w:hAnsi="Times New Roman" w:cs="Times New Roman"/>
        </w:rPr>
        <w:lastRenderedPageBreak/>
        <w:t>el Sector Defensa. Ese resultado puede ser comparado con los obtenido por Quispe (2022), en su estudio llegó a establecer que la Gestión del Riesgo de Desastres tiene correlación directa y significativa con la eficiencia en la estimación de riesgo de la Primera Brigada de Caballería. Al respecto, en la teoría se presume que la gestión del proceso de Reducción del Riesgo, es una tarea que implica desarrollar acciones con el fin de disminuir vulnerabilidades y riesgos existentes en el contexto. Así mismo, al ahondar sobre el proceso de Reducción del Riesgo se hace hincapié en temas como la previsión y mitigación de las consecuencias que pueden producir los fenomenos naturales (Reglamento de la Ley N°29664, 2011). Dentro de ello, se contempla la estructuración de planes de acción, el cual resulta ser una primera iniciativa que promueve medidas previsionales; por ejemplo, la implementación de sistemas de alerta temprana para múltiples riesgos que permitiría la reducción sustantiva de la mortalidad. En ese marco, también se indica que otras de las medidas para reducir los riesgos es la incorporación de normas, valores y actitudes que deben ser fomentadas con anticipación, a ello se le asigna como socialización de la población que puede darse a través de los medios de comunicación, la familia, la escuela, entre otros actores (Maccoby, 2007). Así, los resultados vislumbran como aporte que dentro de la gestión de proceso de reducción de riesgo se debe complementar el rol preponderante de socializar a la población, autoridades, empresas y otros actores, buscando que adopten actitudes participativas frente a los riesgos naturales existentes.</w:t>
      </w:r>
    </w:p>
    <w:p w14:paraId="7D8D18EB" w14:textId="388DE264" w:rsidR="00A43C4B" w:rsidRDefault="00A43C4B" w:rsidP="00A43C4B">
      <w:pPr>
        <w:tabs>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 xml:space="preserve">Respecto a los resultados obtenidos en la hipótesis específica 2, se evidencia que el proceso de Preparación se relaciona con las medidas de sensibilización en el Sector Defensa. A través de la prueba inferencial de Spearman se obtuvo un coeficiente de 0.556 y un p = 0.000; lo cual corresponde a una correlación de tipo </w:t>
      </w:r>
      <w:r w:rsidRPr="00A43C4B">
        <w:rPr>
          <w:rFonts w:ascii="Times New Roman" w:eastAsia="Times New Roman" w:hAnsi="Times New Roman" w:cs="Times New Roman"/>
          <w:b/>
        </w:rPr>
        <w:t xml:space="preserve">positiva </w:t>
      </w:r>
      <w:r w:rsidRPr="00A43C4B">
        <w:rPr>
          <w:rFonts w:ascii="Times New Roman" w:eastAsia="Times New Roman" w:hAnsi="Times New Roman" w:cs="Times New Roman"/>
        </w:rPr>
        <w:t xml:space="preserve">y de grado </w:t>
      </w:r>
      <w:r w:rsidRPr="00A43C4B">
        <w:rPr>
          <w:rFonts w:ascii="Times New Roman" w:eastAsia="Times New Roman" w:hAnsi="Times New Roman" w:cs="Times New Roman"/>
          <w:b/>
        </w:rPr>
        <w:t>moderada</w:t>
      </w:r>
      <w:r w:rsidRPr="00A43C4B">
        <w:rPr>
          <w:rFonts w:ascii="Times New Roman" w:eastAsia="Times New Roman" w:hAnsi="Times New Roman" w:cs="Times New Roman"/>
        </w:rPr>
        <w:t>; es decir, mientras más adecuada sea la gestión del proceso de Preparación permitiría que sea más eficiente las medidas de sensibilización. Ese mismo resultado los obtuvo Quispe (2022) en su estudio llegó a corroborar que a gestión de riesgo de desastre se relaciona con la eficiencia del proceso de Preparación, evidenciado mediante la prueba Rho de Spearman encontró</w:t>
      </w:r>
      <w:r>
        <w:rPr>
          <w:rFonts w:ascii="Times New Roman" w:eastAsia="Times New Roman" w:hAnsi="Times New Roman" w:cs="Times New Roman"/>
        </w:rPr>
        <w:t xml:space="preserve"> </w:t>
      </w:r>
      <w:r w:rsidRPr="00A43C4B">
        <w:rPr>
          <w:rFonts w:ascii="Times New Roman" w:eastAsia="Times New Roman" w:hAnsi="Times New Roman" w:cs="Times New Roman"/>
        </w:rPr>
        <w:t xml:space="preserve">un coeficiente de 0.488 y un p valor de 0.000, precisándose que es una relación directa y significativa. Dentro de la teoría, se presume que la Gestión del Riesgo de </w:t>
      </w:r>
      <w:r w:rsidRPr="00A43C4B">
        <w:rPr>
          <w:rFonts w:ascii="Times New Roman" w:eastAsia="Times New Roman" w:hAnsi="Times New Roman" w:cs="Times New Roman"/>
        </w:rPr>
        <w:lastRenderedPageBreak/>
        <w:t>Desastres en su dimensión proceso de preparación comprende una serie de acciones encaminadas en la adquisición de recursos, organización de la sociedad, entre otros que sirven para anticiparse y responder de manera eficiente en casos de desastres o situaciones de peligro inminente (DS N° 048-2011-PCM, 2011). Dentro de esa afirmación, se incluye la participación ciudadana ante los desastres, actualmente, se viene recomendando prepararse con una mochila de emergencia o kit necesaria para la supervivencia en medio de un desastre. En ella se instauró una política de sensibilización, la cual busca incentivar en las personas conductas y comportamientos de reflexión respecto a los fenómenos naturales (Barrera, 2012). Explorando la participación del Sector Defensa, vemos pues que es necesario el apoyo especializado y técnico en el momento que ocurra un desastre, frente a ello, el personal asignado para la intervención rápida ante desastres, cumple la misión de remover escombros, acciones de búsqueda, control y rescate, entre otras operaciones que requieren de recursos o equipamiento. Como aporte se puede indicar que el proceso de preparación resulta ser importante para lograr la eficiencia de la competencia del Sector Defensa ante catástrofes; precisamente, esa preparación implica contar con el material logístico (retroexcavadora, hospitales de campaña, EPP, etc.) necesarios para cubrir las necesidades de respuesta; sin embargo, es necesario precisar que la sensibilización, simulacros organizados y capacitación de la sociedad también es una medida relacionada al proceso de Preparación.</w:t>
      </w:r>
    </w:p>
    <w:p w14:paraId="67721490" w14:textId="24E1DCFD" w:rsidR="00A43C4B" w:rsidRPr="00A43C4B" w:rsidRDefault="00A43C4B" w:rsidP="00A43C4B">
      <w:pPr>
        <w:tabs>
          <w:tab w:val="left" w:pos="284"/>
          <w:tab w:val="left" w:pos="8222"/>
        </w:tabs>
        <w:spacing w:after="200"/>
        <w:ind w:firstLine="567"/>
        <w:jc w:val="both"/>
        <w:rPr>
          <w:rFonts w:ascii="Times New Roman" w:eastAsia="Times New Roman" w:hAnsi="Times New Roman" w:cs="Times New Roman"/>
        </w:rPr>
      </w:pPr>
      <w:r w:rsidRPr="00A43C4B">
        <w:rPr>
          <w:rFonts w:ascii="Times New Roman" w:eastAsia="Times New Roman" w:hAnsi="Times New Roman" w:cs="Times New Roman"/>
        </w:rPr>
        <w:t>Sobre la hipótesis específica 3, se verifica que el proceso de Respuesta se relaciona con las medidas de implementación en el Sector Defensa. En el análisis estadístico realizado utilizando la prueba de Rho de Spearman se obtuvo un coeficiente de Rho=0.600 y un p = 0.000, lo cual se categorizó como una relación de tipo positiva y de grado fuerte, esto quiere decir que mientras más adecuada sea la gestión del proceso de Respuesta permitiría que sea más eficiente las medidas de implementación. Dichos resultados guardan similitud con los obtenidos por Bernabe (2021), en su indagación llegó a demostrar que la variable Gestión del Riesgo de Desastres tiene relación positiva con la Respuesta inmediata ante</w:t>
      </w:r>
      <w:r>
        <w:rPr>
          <w:rFonts w:ascii="Times New Roman" w:eastAsia="Times New Roman" w:hAnsi="Times New Roman" w:cs="Times New Roman"/>
        </w:rPr>
        <w:t xml:space="preserve"> </w:t>
      </w:r>
      <w:r w:rsidRPr="00A43C4B">
        <w:rPr>
          <w:rFonts w:ascii="Times New Roman" w:eastAsia="Times New Roman" w:hAnsi="Times New Roman" w:cs="Times New Roman"/>
        </w:rPr>
        <w:t xml:space="preserve">desastres naturales (Rho = 0.827). Con respecto al proceso de Respuesta en la Gestión del Riesgo de Desastres, en los postulados teóricos es entendido como el </w:t>
      </w:r>
      <w:r w:rsidRPr="00A43C4B">
        <w:rPr>
          <w:rFonts w:ascii="Times New Roman" w:eastAsia="Times New Roman" w:hAnsi="Times New Roman" w:cs="Times New Roman"/>
        </w:rPr>
        <w:lastRenderedPageBreak/>
        <w:t>conjunto de acciones y medidas que se toman en el momento que ocurre un desastre, inmediatamente se ejecutan las medidas planificadas con anterioridad (D.S. N° 048- 2011-PCM, 2011). Justamente, la responsabilidad del proceso de Respuesta recae directamente en las Fuerzas Armadas; por ello, es una prioridad que, en el Sector Defensa, se prepare técnicamente y se organice a la fuerza para actuar ante emergencias, desastres o peligro inminente. En esos casos se sugiere la implementación de los tres momentos de la respuestas: Se inicia con la intervención inicial donde se aplica el principio de autoayuda, continua la primera respuesta , el cual consiste en una evaluación de los daños, atenciones médicas, tareas de rescate, movilización de la fuerza, puentes aéreos y terrestres; luego, se integra la respuesta complementaria, que consiste en el apoyo a la distribución de ayuda humanitaria, apoyo en la instalación de albergues, recuperación de las comunicaciones y remoción de escombros (Barrera, 2012). Dada la situación planteada, se puede agregar como aporte de la investigación que el proceso de respuesta debe alinearse con medidas de implementación organizadas, lo cual facilitaría el cumplimiento eficaz y eficiente del rol de apoyo social que tiene el Sector Defensa ante fenómenos naturales.</w:t>
      </w:r>
    </w:p>
    <w:p w14:paraId="04038D64" w14:textId="2F7C6617" w:rsidR="00657D48" w:rsidRDefault="00A43C4B" w:rsidP="00A43C4B">
      <w:pPr>
        <w:tabs>
          <w:tab w:val="left" w:pos="284"/>
          <w:tab w:val="left" w:pos="8222"/>
        </w:tabs>
        <w:spacing w:after="200"/>
        <w:ind w:firstLine="567"/>
        <w:jc w:val="both"/>
        <w:rPr>
          <w:rFonts w:ascii="Times New Roman" w:eastAsia="Times New Roman" w:hAnsi="Times New Roman" w:cs="Times New Roman"/>
          <w:strike/>
        </w:rPr>
        <w:sectPr w:rsidR="00657D48">
          <w:pgSz w:w="11906" w:h="16838"/>
          <w:pgMar w:top="1701" w:right="1701" w:bottom="1701" w:left="2268" w:header="709" w:footer="709" w:gutter="0"/>
          <w:cols w:space="720"/>
        </w:sectPr>
      </w:pPr>
      <w:r w:rsidRPr="00A43C4B">
        <w:rPr>
          <w:rFonts w:ascii="Times New Roman" w:eastAsia="Times New Roman" w:hAnsi="Times New Roman" w:cs="Times New Roman"/>
        </w:rPr>
        <w:t>A modo de conclusión, la investigación plantea que la Gestión del Riesgo de Desastres resulta ser una herramienta técnica que debe estar alineada dentro de las competencias del Sector Defensa, teniendo en cuenta que el Perú es un país con alto nivel de exposición a diferentes fenómenos naturales. Incluso, se debe considerar que la vulnerabilidad es mayor en la zona costeña como Lima, donde se ha previsto un sismo de considerable magnitud de 8 o mayor grado de la Escala sismológica de momento. Por otro lado, la falta de una Gestión del Riesgo de Desastres comprometería las capacidades que se requieren para afrontar con eficacia, eficiencia y adecuada gestión de las amenazas naturales; es decir, limitaría las operaciones y competencias del Sector Defensa para afrontar episodios de emergencia y desastres.</w:t>
      </w:r>
    </w:p>
    <w:p w14:paraId="1753E5F6" w14:textId="7DE77810" w:rsidR="00657D48" w:rsidRDefault="003F3EEB">
      <w:pPr>
        <w:pStyle w:val="Ttulo1"/>
      </w:pPr>
      <w:bookmarkStart w:id="202" w:name="_Toc117518948"/>
      <w:r>
        <w:lastRenderedPageBreak/>
        <w:t>CONCLUSIONES</w:t>
      </w:r>
      <w:bookmarkEnd w:id="202"/>
    </w:p>
    <w:p w14:paraId="08A9BD6D" w14:textId="323F69E1" w:rsidR="00657D48" w:rsidRDefault="00A43C4B">
      <w:pPr>
        <w:jc w:val="both"/>
        <w:rPr>
          <w:rFonts w:ascii="Times New Roman" w:eastAsia="Times New Roman" w:hAnsi="Times New Roman" w:cs="Times New Roman"/>
        </w:rPr>
      </w:pPr>
      <w:r w:rsidRPr="00A43C4B">
        <w:rPr>
          <w:rFonts w:ascii="Times New Roman" w:eastAsia="Times New Roman" w:hAnsi="Times New Roman" w:cs="Times New Roman"/>
        </w:rPr>
        <w:t xml:space="preserve">Se determinó que existe relación estadísticamente significativa, de tipo positiva y de grado fuerte entre la Gestión del Riesgo de Desastres y la competencia del Sector Defensa en el año 2021, con un coeficiente de Rho = 0.636 y un p=0.000, confirmándose que mientras más adecuada sea la Gestión del Riesgo de Desastres, </w:t>
      </w:r>
      <w:r w:rsidR="00A62594">
        <w:rPr>
          <w:rFonts w:ascii="Times New Roman" w:eastAsia="Times New Roman" w:hAnsi="Times New Roman" w:cs="Times New Roman"/>
        </w:rPr>
        <w:t xml:space="preserve">es decir, mientras sea más socializada difundida e implementada, </w:t>
      </w:r>
      <w:r w:rsidRPr="00A43C4B">
        <w:rPr>
          <w:rFonts w:ascii="Times New Roman" w:eastAsia="Times New Roman" w:hAnsi="Times New Roman" w:cs="Times New Roman"/>
        </w:rPr>
        <w:t>más eficiente serán las competencias del Sector Defensa</w:t>
      </w:r>
      <w:r w:rsidR="00A62594">
        <w:rPr>
          <w:rFonts w:ascii="Times New Roman" w:eastAsia="Times New Roman" w:hAnsi="Times New Roman" w:cs="Times New Roman"/>
        </w:rPr>
        <w:t xml:space="preserve">, es decir, tendremos infraestructuras en mejores condiciones para hacer frente a los riesgos y tendremos  mejores capacidades humanas, organizacionales y técnicas para dar una respuesta más eficiente y eficaz en apoyo a la población afectada y damnificada. </w:t>
      </w:r>
    </w:p>
    <w:p w14:paraId="07026E97" w14:textId="77777777" w:rsidR="00A43C4B" w:rsidRPr="00A43C4B" w:rsidRDefault="00A43C4B" w:rsidP="00A43C4B">
      <w:pPr>
        <w:ind w:firstLine="567"/>
        <w:jc w:val="both"/>
        <w:rPr>
          <w:rFonts w:ascii="Times New Roman" w:eastAsia="Times New Roman" w:hAnsi="Times New Roman" w:cs="Times New Roman"/>
        </w:rPr>
      </w:pPr>
      <w:r w:rsidRPr="00A43C4B">
        <w:rPr>
          <w:rFonts w:ascii="Times New Roman" w:eastAsia="Times New Roman" w:hAnsi="Times New Roman" w:cs="Times New Roman"/>
        </w:rPr>
        <w:t>Se determinó que existe relación estadísticamente significativa, de tipo positiva y de grado moderada entre el proceso de Reducción del Riesgo y las medidas de socialización en el Sector Defensa en el año 2021, con un coeficiente de Rho = 0.453 y un p = 0.000, confirmándose que mientras más adecuada sea la gestión del proceso de Reducción del Riesgo permite que sea más eficiente las medidas de socialización en el Sector Defensa.</w:t>
      </w:r>
    </w:p>
    <w:p w14:paraId="6D9B3070" w14:textId="008C5EE8" w:rsidR="00A43C4B" w:rsidRPr="00A43C4B" w:rsidRDefault="00A43C4B" w:rsidP="00A43C4B">
      <w:pPr>
        <w:ind w:firstLine="567"/>
        <w:jc w:val="both"/>
        <w:rPr>
          <w:rFonts w:ascii="Times New Roman" w:eastAsia="Times New Roman" w:hAnsi="Times New Roman" w:cs="Times New Roman"/>
        </w:rPr>
      </w:pPr>
      <w:r w:rsidRPr="00A43C4B">
        <w:rPr>
          <w:rFonts w:ascii="Times New Roman" w:eastAsia="Times New Roman" w:hAnsi="Times New Roman" w:cs="Times New Roman"/>
        </w:rPr>
        <w:t>Se determinó que existe relación estadísticamente significativa, de tipo positiva y de grado moderada entre el proceso de preparación y las medidas de sensibilización en el Sector Defensa en el año 2021, con un coeficiente de Rho =</w:t>
      </w:r>
      <w:r>
        <w:rPr>
          <w:rFonts w:ascii="Times New Roman" w:eastAsia="Times New Roman" w:hAnsi="Times New Roman" w:cs="Times New Roman"/>
        </w:rPr>
        <w:t xml:space="preserve"> </w:t>
      </w:r>
      <w:r w:rsidRPr="00A43C4B">
        <w:rPr>
          <w:rFonts w:ascii="Times New Roman" w:eastAsia="Times New Roman" w:hAnsi="Times New Roman" w:cs="Times New Roman"/>
        </w:rPr>
        <w:t>0.556 y un p = 0.000, confirmándose que mientras más adecuada sea la gestión del proceso de Preparación permitiría que sea más eficiente las medidas de sensibilización en el Sector Defensa.</w:t>
      </w:r>
    </w:p>
    <w:p w14:paraId="567DA323" w14:textId="4E44BF40" w:rsidR="00A43C4B" w:rsidRDefault="00A43C4B" w:rsidP="00A43C4B">
      <w:pPr>
        <w:ind w:firstLine="567"/>
        <w:jc w:val="both"/>
        <w:rPr>
          <w:rFonts w:ascii="Times New Roman" w:eastAsia="Times New Roman" w:hAnsi="Times New Roman" w:cs="Times New Roman"/>
        </w:rPr>
      </w:pPr>
      <w:r w:rsidRPr="00A43C4B">
        <w:rPr>
          <w:rFonts w:ascii="Times New Roman" w:eastAsia="Times New Roman" w:hAnsi="Times New Roman" w:cs="Times New Roman"/>
        </w:rPr>
        <w:t>Se determinó que existe relación estadísticamente significativa, de tipo positiva y de grado fuerte entre el proceso de Respuesta y las medidas de implementación en el Sector Defensa en el año 2021, con un coeficiente de Rho = 0.600 y un p = 0.000, confirmándose que mientras más adecuada sea la gestión del proceso de Respuesta permitiría que sea más eficiente las medidas de implementación en el Sector Defensa.</w:t>
      </w:r>
    </w:p>
    <w:p w14:paraId="43604901" w14:textId="0A6FC5EA" w:rsidR="00657D48" w:rsidRDefault="003F3EEB">
      <w:pPr>
        <w:ind w:firstLine="567"/>
        <w:jc w:val="both"/>
        <w:rPr>
          <w:rFonts w:ascii="Times New Roman" w:eastAsia="Times New Roman" w:hAnsi="Times New Roman" w:cs="Times New Roman"/>
        </w:rPr>
        <w:sectPr w:rsidR="00657D48">
          <w:pgSz w:w="11906" w:h="16838"/>
          <w:pgMar w:top="1701" w:right="1701" w:bottom="1701" w:left="2268" w:header="709" w:footer="709" w:gutter="0"/>
          <w:cols w:space="720"/>
        </w:sectPr>
      </w:pPr>
      <w:r>
        <w:rPr>
          <w:rFonts w:ascii="Times New Roman" w:eastAsia="Times New Roman" w:hAnsi="Times New Roman" w:cs="Times New Roman"/>
        </w:rPr>
        <w:t xml:space="preserve"> </w:t>
      </w:r>
    </w:p>
    <w:p w14:paraId="5FDD9503" w14:textId="4C88E647" w:rsidR="00657D48" w:rsidRDefault="003F3EEB">
      <w:pPr>
        <w:pStyle w:val="Ttulo1"/>
      </w:pPr>
      <w:bookmarkStart w:id="203" w:name="_Toc117518949"/>
      <w:r>
        <w:lastRenderedPageBreak/>
        <w:t>RECOMENDACIONES</w:t>
      </w:r>
      <w:bookmarkEnd w:id="203"/>
    </w:p>
    <w:p w14:paraId="52AA7246" w14:textId="62F7DDF3" w:rsidR="00657D48" w:rsidRDefault="00A71C10">
      <w:pPr>
        <w:jc w:val="both"/>
        <w:rPr>
          <w:rFonts w:ascii="Times New Roman" w:eastAsia="Times New Roman" w:hAnsi="Times New Roman" w:cs="Times New Roman"/>
        </w:rPr>
      </w:pPr>
      <w:r w:rsidRPr="00A71C10">
        <w:rPr>
          <w:rFonts w:ascii="Times New Roman" w:eastAsia="Times New Roman" w:hAnsi="Times New Roman" w:cs="Times New Roman"/>
        </w:rPr>
        <w:t xml:space="preserve">Al titular del Sector Defensa, se recomienda implementar la Política </w:t>
      </w:r>
      <w:r w:rsidR="00DD4F2B">
        <w:rPr>
          <w:rFonts w:ascii="Times New Roman" w:eastAsia="Times New Roman" w:hAnsi="Times New Roman" w:cs="Times New Roman"/>
        </w:rPr>
        <w:t xml:space="preserve">Nacional </w:t>
      </w:r>
      <w:r w:rsidRPr="00A71C10">
        <w:rPr>
          <w:rFonts w:ascii="Times New Roman" w:eastAsia="Times New Roman" w:hAnsi="Times New Roman" w:cs="Times New Roman"/>
        </w:rPr>
        <w:t xml:space="preserve">de </w:t>
      </w:r>
      <w:r w:rsidR="00DD4F2B">
        <w:rPr>
          <w:rFonts w:ascii="Times New Roman" w:eastAsia="Times New Roman" w:hAnsi="Times New Roman" w:cs="Times New Roman"/>
        </w:rPr>
        <w:t>G</w:t>
      </w:r>
      <w:r w:rsidRPr="00A71C10">
        <w:rPr>
          <w:rFonts w:ascii="Times New Roman" w:eastAsia="Times New Roman" w:hAnsi="Times New Roman" w:cs="Times New Roman"/>
        </w:rPr>
        <w:t xml:space="preserve">estión del </w:t>
      </w:r>
      <w:r w:rsidR="00DD4F2B">
        <w:rPr>
          <w:rFonts w:ascii="Times New Roman" w:eastAsia="Times New Roman" w:hAnsi="Times New Roman" w:cs="Times New Roman"/>
        </w:rPr>
        <w:t>R</w:t>
      </w:r>
      <w:r w:rsidRPr="00A71C10">
        <w:rPr>
          <w:rFonts w:ascii="Times New Roman" w:eastAsia="Times New Roman" w:hAnsi="Times New Roman" w:cs="Times New Roman"/>
        </w:rPr>
        <w:t xml:space="preserve">iesgo de </w:t>
      </w:r>
      <w:r w:rsidR="00DD4F2B">
        <w:rPr>
          <w:rFonts w:ascii="Times New Roman" w:eastAsia="Times New Roman" w:hAnsi="Times New Roman" w:cs="Times New Roman"/>
        </w:rPr>
        <w:t>D</w:t>
      </w:r>
      <w:r w:rsidRPr="00A71C10">
        <w:rPr>
          <w:rFonts w:ascii="Times New Roman" w:eastAsia="Times New Roman" w:hAnsi="Times New Roman" w:cs="Times New Roman"/>
        </w:rPr>
        <w:t xml:space="preserve">esastres al 2050 de carácter obligatorio a nivel Nacional, fomentando la planificación, organización y control de las acciones prospectiva, correctiva y reactivas que se deben desarrollar cuando un fenómeno natural ocurre. Así mismo, la </w:t>
      </w:r>
      <w:r w:rsidR="00DD4F2B">
        <w:rPr>
          <w:rFonts w:ascii="Times New Roman" w:eastAsia="Times New Roman" w:hAnsi="Times New Roman" w:cs="Times New Roman"/>
        </w:rPr>
        <w:t>G</w:t>
      </w:r>
      <w:r w:rsidRPr="00A71C10">
        <w:rPr>
          <w:rFonts w:ascii="Times New Roman" w:eastAsia="Times New Roman" w:hAnsi="Times New Roman" w:cs="Times New Roman"/>
        </w:rPr>
        <w:t xml:space="preserve">estión del </w:t>
      </w:r>
      <w:r w:rsidR="00DD4F2B">
        <w:rPr>
          <w:rFonts w:ascii="Times New Roman" w:eastAsia="Times New Roman" w:hAnsi="Times New Roman" w:cs="Times New Roman"/>
        </w:rPr>
        <w:t>R</w:t>
      </w:r>
      <w:r w:rsidRPr="00A71C10">
        <w:rPr>
          <w:rFonts w:ascii="Times New Roman" w:eastAsia="Times New Roman" w:hAnsi="Times New Roman" w:cs="Times New Roman"/>
        </w:rPr>
        <w:t xml:space="preserve">iesgo de </w:t>
      </w:r>
      <w:r w:rsidR="00DD4F2B">
        <w:rPr>
          <w:rFonts w:ascii="Times New Roman" w:eastAsia="Times New Roman" w:hAnsi="Times New Roman" w:cs="Times New Roman"/>
        </w:rPr>
        <w:t>D</w:t>
      </w:r>
      <w:r w:rsidRPr="00A71C10">
        <w:rPr>
          <w:rFonts w:ascii="Times New Roman" w:eastAsia="Times New Roman" w:hAnsi="Times New Roman" w:cs="Times New Roman"/>
        </w:rPr>
        <w:t>esastres debe ser estructurado sobre las bases de las demandas del SINAGERD y buscando que las competencias del Sector Defensa a través de las Fuerzas Armadas se cumplan de manera eficiente, con despliegue estratégico de los recursos por vía área, terrestre y marítima, atendiendo las necesidades de la población damnificada por fenómenos de origen natural cumpliendo con la Ley N° 29664.</w:t>
      </w:r>
    </w:p>
    <w:p w14:paraId="114501C7" w14:textId="00114B05" w:rsidR="00A71C10" w:rsidRDefault="00A71C10" w:rsidP="00A71C10">
      <w:pPr>
        <w:ind w:firstLine="567"/>
        <w:jc w:val="both"/>
        <w:rPr>
          <w:rFonts w:ascii="Times New Roman" w:eastAsia="Times New Roman" w:hAnsi="Times New Roman" w:cs="Times New Roman"/>
        </w:rPr>
      </w:pPr>
      <w:r w:rsidRPr="00A71C10">
        <w:rPr>
          <w:rFonts w:ascii="Times New Roman" w:eastAsia="Times New Roman" w:hAnsi="Times New Roman" w:cs="Times New Roman"/>
        </w:rPr>
        <w:t xml:space="preserve">Al titular del Sector Defensa, se recomienda tomar medidas para mejorar el proceso de Reducción de Riesgo a través de la elaboración e implementación el Plan de Prevención y Reducción del Riesgo de Desastres (PPRRD), respondiendo al artículo 39 del reglamento de la Ley </w:t>
      </w:r>
      <w:r w:rsidR="00DD4F2B">
        <w:rPr>
          <w:rFonts w:ascii="Times New Roman" w:eastAsia="Times New Roman" w:hAnsi="Times New Roman" w:cs="Times New Roman"/>
        </w:rPr>
        <w:t xml:space="preserve">N° </w:t>
      </w:r>
      <w:r w:rsidRPr="00A71C10">
        <w:rPr>
          <w:rFonts w:ascii="Times New Roman" w:eastAsia="Times New Roman" w:hAnsi="Times New Roman" w:cs="Times New Roman"/>
        </w:rPr>
        <w:t>29664. El PPRRD está dirigido a que los tomadores de decisión de las entidades del Sector Defensa fomenten la adecuada implementación de los procesos de prevención y reducción del riesgo en las entidades del Sector Defensa.</w:t>
      </w:r>
    </w:p>
    <w:p w14:paraId="1CB735B7" w14:textId="48C8E9DB" w:rsidR="00A71C10" w:rsidRDefault="00A71C10" w:rsidP="00A71C10">
      <w:pPr>
        <w:ind w:firstLine="567"/>
        <w:jc w:val="both"/>
        <w:rPr>
          <w:rFonts w:ascii="Times New Roman" w:eastAsia="Times New Roman" w:hAnsi="Times New Roman" w:cs="Times New Roman"/>
        </w:rPr>
      </w:pPr>
      <w:r w:rsidRPr="00A71C10">
        <w:rPr>
          <w:rFonts w:ascii="Times New Roman" w:eastAsia="Times New Roman" w:hAnsi="Times New Roman" w:cs="Times New Roman"/>
        </w:rPr>
        <w:t>Es importante considerar que los ejes que se señalen deben alinearse a los Objetivos Prioritarios relacionados a la prevención y reducción del riesgo de desastres de la Política Nacional de Gestión del Riesgo de Desastres al 2050 y al Marco de Sendai 2015-2030.</w:t>
      </w:r>
    </w:p>
    <w:p w14:paraId="5EC05963" w14:textId="0DF9B2B3" w:rsidR="00A71C10" w:rsidRDefault="00A71C10" w:rsidP="00A71C10">
      <w:pPr>
        <w:ind w:firstLine="567"/>
        <w:jc w:val="both"/>
        <w:rPr>
          <w:rFonts w:ascii="Times New Roman" w:eastAsia="Times New Roman" w:hAnsi="Times New Roman" w:cs="Times New Roman"/>
        </w:rPr>
      </w:pPr>
      <w:r w:rsidRPr="00A71C10">
        <w:rPr>
          <w:rFonts w:ascii="Times New Roman" w:eastAsia="Times New Roman" w:hAnsi="Times New Roman" w:cs="Times New Roman"/>
        </w:rPr>
        <w:t>Al titular del Sector Defensa, se recomienda implementar el Plan de Preparación del Sector Defensa que se ha aprobado bajo RM N°0396-2021-DE que tiene como objeto el “Fortalecer las capacidades del Sector Defensa para anticiparse y responder de forma eficiente y eficaz en caso de desastres o situación de peligro inminente en atención a la población y a sus medios de vida en el marco de las competencias del Sector”. Para el logro de ello se plantea que las entidades vayan implementando según sus competencias las actividades que plantea el instrumento los cuales se basa en los 6 subprocesos de la Preparación: Información sobre</w:t>
      </w:r>
      <w:r>
        <w:rPr>
          <w:rFonts w:ascii="Times New Roman" w:eastAsia="Times New Roman" w:hAnsi="Times New Roman" w:cs="Times New Roman"/>
        </w:rPr>
        <w:t xml:space="preserve"> </w:t>
      </w:r>
      <w:r w:rsidRPr="00A71C10">
        <w:rPr>
          <w:rFonts w:ascii="Times New Roman" w:eastAsia="Times New Roman" w:hAnsi="Times New Roman" w:cs="Times New Roman"/>
        </w:rPr>
        <w:lastRenderedPageBreak/>
        <w:t>Escenarios de Riesgo de Desastres, Planeamiento, Desarrollo de Capacidades para la Respuesta, Gestión de Recursos para la Respuesta, Monitoreo y Alerta Temprana e Información Pública y Sensibilización.</w:t>
      </w:r>
    </w:p>
    <w:p w14:paraId="6DA31163" w14:textId="53C2384D" w:rsidR="00A71C10" w:rsidRPr="00A71C10" w:rsidRDefault="00DD4F2B" w:rsidP="00A71C10">
      <w:pPr>
        <w:ind w:firstLine="567"/>
        <w:jc w:val="both"/>
        <w:rPr>
          <w:rFonts w:ascii="Times New Roman" w:eastAsia="Times New Roman" w:hAnsi="Times New Roman" w:cs="Times New Roman"/>
        </w:rPr>
      </w:pPr>
      <w:r>
        <w:rPr>
          <w:rFonts w:ascii="Times New Roman" w:eastAsia="Times New Roman" w:hAnsi="Times New Roman" w:cs="Times New Roman"/>
        </w:rPr>
        <w:t xml:space="preserve">De </w:t>
      </w:r>
      <w:r w:rsidR="00A71C10" w:rsidRPr="00A71C10">
        <w:rPr>
          <w:rFonts w:ascii="Times New Roman" w:eastAsia="Times New Roman" w:hAnsi="Times New Roman" w:cs="Times New Roman"/>
        </w:rPr>
        <w:t>los 6 subprocesos es importante destacar el subproceso de Planeamiento y el Desarrollo de Capacidades para la Respuesta donde el primero va fomentar el desarrollo de los planes específicos en GRD, en lo referente a la gestión reactiva en todas las entidades del Sector. Asimismo, el segundo va dirigido el fortalecimiento de las capacidades que incluye las capacidades organizacionales, humanas y técnicas, así como el equipamiento que se requiere para una preparación que procure una óptima respuesta.</w:t>
      </w:r>
    </w:p>
    <w:p w14:paraId="3F49245D" w14:textId="3DD9D6BF" w:rsidR="00A71C10" w:rsidRDefault="00A71C10" w:rsidP="00A71C10">
      <w:pPr>
        <w:ind w:firstLine="567"/>
        <w:jc w:val="both"/>
        <w:rPr>
          <w:rFonts w:ascii="Times New Roman" w:eastAsia="Times New Roman" w:hAnsi="Times New Roman" w:cs="Times New Roman"/>
        </w:rPr>
      </w:pPr>
      <w:r w:rsidRPr="00A71C10">
        <w:rPr>
          <w:rFonts w:ascii="Times New Roman" w:eastAsia="Times New Roman" w:hAnsi="Times New Roman" w:cs="Times New Roman"/>
        </w:rPr>
        <w:t>Al titular del Sector Defensa, se recomienda fortalecer la capacidad de Respuesta del Sector Defensa para ello, es importante que genere capacidades previas en la Preparación que incluye el desarrollo de planes (Plan de Operaciones de Emergencia, Planes de Contingencia, Plan de Continuidad Operativa) así como protocolos que permitan definir responsabilidades y acciones a realizar en los tres momentos de respuesta. Asimismo, en la preparación se van a fortalecer las capacidades organizacionales, humanas, técnicas, así como dotar de equipamiento que permita contar con los recursos materiales a ser utilizados cuando ocurra una emergencia y/o desastres.</w:t>
      </w:r>
    </w:p>
    <w:p w14:paraId="091414CF" w14:textId="63701056" w:rsidR="00657D48" w:rsidRDefault="003F3EEB">
      <w:pPr>
        <w:ind w:firstLine="567"/>
        <w:jc w:val="both"/>
        <w:rPr>
          <w:rFonts w:ascii="Times New Roman" w:eastAsia="Times New Roman" w:hAnsi="Times New Roman" w:cs="Times New Roman"/>
        </w:rPr>
        <w:sectPr w:rsidR="00657D48">
          <w:headerReference w:type="default" r:id="rId31"/>
          <w:pgSz w:w="11906" w:h="16838"/>
          <w:pgMar w:top="1701" w:right="1701" w:bottom="1701" w:left="2268" w:header="709" w:footer="709" w:gutter="0"/>
          <w:cols w:space="720"/>
        </w:sectPr>
      </w:pPr>
      <w:r>
        <w:rPr>
          <w:rFonts w:ascii="Times New Roman" w:eastAsia="Times New Roman" w:hAnsi="Times New Roman" w:cs="Times New Roman"/>
        </w:rPr>
        <w:t xml:space="preserve"> </w:t>
      </w:r>
    </w:p>
    <w:p w14:paraId="626EFDA6" w14:textId="732EB19E" w:rsidR="00657D48" w:rsidRDefault="003F3EEB">
      <w:pPr>
        <w:pStyle w:val="Ttulo1"/>
      </w:pPr>
      <w:bookmarkStart w:id="204" w:name="_Toc117518950"/>
      <w:r>
        <w:lastRenderedPageBreak/>
        <w:t>PROPUESTA PARA ENFRENTAR EL PROBLEMA</w:t>
      </w:r>
      <w:bookmarkEnd w:id="204"/>
    </w:p>
    <w:p w14:paraId="46815EEF" w14:textId="5EB64C2F" w:rsidR="00A71C10"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 xml:space="preserve">La presente propuesta de Gestión del Riesgo de Desastres estará encaminada en fortalecer las competencias del Sector Defensa, en su participación </w:t>
      </w:r>
      <w:r w:rsidR="00DD4F2B">
        <w:rPr>
          <w:rFonts w:ascii="Times New Roman" w:eastAsia="Times New Roman" w:hAnsi="Times New Roman" w:cs="Times New Roman"/>
        </w:rPr>
        <w:t xml:space="preserve">en los procesos </w:t>
      </w:r>
      <w:r w:rsidRPr="00A71C10">
        <w:rPr>
          <w:rFonts w:ascii="Times New Roman" w:eastAsia="Times New Roman" w:hAnsi="Times New Roman" w:cs="Times New Roman"/>
        </w:rPr>
        <w:t>de Reducción del Riesgo, Preparación y Respuesta ante una emergencia y/o desastres que le faculta la Ley N° 29664 en su artículo 17.</w:t>
      </w:r>
    </w:p>
    <w:p w14:paraId="6168B1FA" w14:textId="2211485E"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En lo que respecta a los fundamentos normativos, se puede citar el inciso 5.1. del artículo 5 de la Ley N°29664, el cual establece garantías y orientaciones enfocadas en evitar y minimizar los riesgos, prever la existencia de nuevos riesgos y fomentar la  adecuada  preparación,  intervención,  rehabilitación  y  reconstrucción  frente  a situaciones de desastres, además de minimizar las consecuencias que tendría tal episodio para la población, la 5economía y la naturaleza.</w:t>
      </w:r>
    </w:p>
    <w:p w14:paraId="0880AED2" w14:textId="291673ED"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 xml:space="preserve">Así mismo, en el artículo 46 del reglamento de la ley </w:t>
      </w:r>
      <w:r w:rsidR="00DD4F2B">
        <w:rPr>
          <w:rFonts w:ascii="Times New Roman" w:eastAsia="Times New Roman" w:hAnsi="Times New Roman" w:cs="Times New Roman"/>
        </w:rPr>
        <w:t xml:space="preserve">N° </w:t>
      </w:r>
      <w:r w:rsidRPr="00A71C10">
        <w:rPr>
          <w:rFonts w:ascii="Times New Roman" w:eastAsia="Times New Roman" w:hAnsi="Times New Roman" w:cs="Times New Roman"/>
        </w:rPr>
        <w:t>29664 en señala que, en el Sector Defensa, las Fuerzas Armadas, son una entidad de primera respuesta intervienen en casos de emergencias o desastres, que desarrollan acciones inmediatas necesarias en las zonas afectadas, en coordinación con la autoridad competente. En esa misma línea, también se fundamenta en el Decreto Legislativo N° 1136, aprobada el 2012, en su artículo 3 que permite la participación del CCFFAA en las acciones relacionadas con la Defensa Civil.</w:t>
      </w:r>
    </w:p>
    <w:p w14:paraId="4BBF7073" w14:textId="77777777"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En ese mérito, si nos ceñimos a la forma cómo se realiza la intervención del Sector Defensa, se puede describirla en tres enfoques:</w:t>
      </w:r>
    </w:p>
    <w:p w14:paraId="0A49D488" w14:textId="77777777" w:rsidR="00A71C10" w:rsidRPr="00A71C10" w:rsidRDefault="00A71C10" w:rsidP="00A71C10">
      <w:pPr>
        <w:spacing w:after="200"/>
        <w:jc w:val="both"/>
        <w:rPr>
          <w:rFonts w:ascii="Times New Roman" w:eastAsia="Times New Roman" w:hAnsi="Times New Roman" w:cs="Times New Roman"/>
          <w:b/>
        </w:rPr>
      </w:pPr>
      <w:r w:rsidRPr="00A71C10">
        <w:rPr>
          <w:rFonts w:ascii="Times New Roman" w:eastAsia="Times New Roman" w:hAnsi="Times New Roman" w:cs="Times New Roman"/>
          <w:b/>
        </w:rPr>
        <w:t>Proceso de Reducción del Riesgo.</w:t>
      </w:r>
    </w:p>
    <w:p w14:paraId="7023338B" w14:textId="2044AC2C" w:rsid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La propuesta para fortalecer el proceso de reducción se va recoger en el Plan de Prevención y Reducción del Riesgo de Desastre, instrumento que incluye este proceso como se señala en el artículo 39 del Reglamento de la Ley 29664. En lo relacionado del proceso de Reducción se ha definido 3 ejes principales:</w:t>
      </w:r>
    </w:p>
    <w:p w14:paraId="546253F1" w14:textId="77777777" w:rsidR="00A71C10" w:rsidRPr="00A71C10" w:rsidRDefault="003F3EEB" w:rsidP="00A71C10">
      <w:pPr>
        <w:pStyle w:val="Prrafodelista"/>
        <w:numPr>
          <w:ilvl w:val="0"/>
          <w:numId w:val="7"/>
        </w:numPr>
        <w:rPr>
          <w:rFonts w:ascii="Times New Roman" w:eastAsia="Times New Roman" w:hAnsi="Times New Roman" w:cs="Times New Roman"/>
        </w:rPr>
      </w:pPr>
      <w:r w:rsidRPr="00A71C10">
        <w:rPr>
          <w:rFonts w:ascii="Times New Roman" w:eastAsia="Times New Roman" w:hAnsi="Times New Roman" w:cs="Times New Roman"/>
        </w:rPr>
        <w:t xml:space="preserve">Eje N° 1: </w:t>
      </w:r>
      <w:r w:rsidR="00A71C10" w:rsidRPr="00A71C10">
        <w:rPr>
          <w:rFonts w:ascii="Times New Roman" w:eastAsia="Times New Roman" w:hAnsi="Times New Roman" w:cs="Times New Roman"/>
        </w:rPr>
        <w:t>Institucionalizar el proceso de reducción en las entidades del Sector</w:t>
      </w:r>
    </w:p>
    <w:p w14:paraId="221D5EE1" w14:textId="374108E8" w:rsidR="00657D48"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lastRenderedPageBreak/>
        <w:t>Para el desarrollo de la institucionalización se debe centrar en un primer momento en incluir el proceso de reducción en los instrumentos de gestión administrativa y los de planeamiento estratégico y operativa. La inclusión va permitir que se incluya actividades de reducción en el presupuesto multianual. En este proceso se debe contar con el apoyo de las entidades técnicas científicas, en especial CENEPRED, que brinde capacitaciones para una adecuada inclusión de los procesos. Como todos los procesos de institucionalización no pueden ejecutarse si no se hace el monitoreo y seguimiento y la evaluación del PPRRD que mida la implementación del proceso de reducción en el sector Defensa.</w:t>
      </w:r>
    </w:p>
    <w:p w14:paraId="5BCDB182" w14:textId="1AF64B98" w:rsidR="00657D48" w:rsidRDefault="003F3EEB">
      <w:pPr>
        <w:numPr>
          <w:ilvl w:val="0"/>
          <w:numId w:val="7"/>
        </w:numPr>
        <w:spacing w:after="200"/>
        <w:jc w:val="both"/>
      </w:pPr>
      <w:bookmarkStart w:id="205" w:name="_3w19e94" w:colFirst="0" w:colLast="0"/>
      <w:bookmarkEnd w:id="205"/>
      <w:r>
        <w:rPr>
          <w:rFonts w:ascii="Times New Roman" w:eastAsia="Times New Roman" w:hAnsi="Times New Roman" w:cs="Times New Roman"/>
        </w:rPr>
        <w:t xml:space="preserve">Eje N°2: </w:t>
      </w:r>
      <w:r w:rsidR="00A71C10" w:rsidRPr="00A71C10">
        <w:rPr>
          <w:rFonts w:ascii="Times New Roman" w:eastAsia="Times New Roman" w:hAnsi="Times New Roman" w:cs="Times New Roman"/>
        </w:rPr>
        <w:t>Generación del conocimiento del riesgo a través del fortalecimiento de capacidades en el personal de las entidades del Sector y la sensibilización a la población a través de acciones cívicas.</w:t>
      </w:r>
    </w:p>
    <w:p w14:paraId="5F69F22A" w14:textId="5D6A01A5"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Las entidades técnicas científicas que forman parte del Sector Defensa deben elaborar informes, estudios, análisis de vulnerabilidad y riesgos a nivel nacional, así como elaborar EVAR a nivel interno para ello se debe fortalecer capacidades técnicas en el personal de las entidades del Sector Defensa, según corresponda, a través de capacitaciones, así como dotar de equipamiento y logística necesaria para que pueda</w:t>
      </w:r>
      <w:r w:rsidR="00DD4F2B">
        <w:rPr>
          <w:rFonts w:ascii="Times New Roman" w:eastAsia="Times New Roman" w:hAnsi="Times New Roman" w:cs="Times New Roman"/>
        </w:rPr>
        <w:t>n</w:t>
      </w:r>
      <w:r w:rsidRPr="00A71C10">
        <w:rPr>
          <w:rFonts w:ascii="Times New Roman" w:eastAsia="Times New Roman" w:hAnsi="Times New Roman" w:cs="Times New Roman"/>
        </w:rPr>
        <w:t xml:space="preserve"> operar estas entidades de monitoreo de peligros y vigilancia. Además, se debe fomentar el desarrollo de convenios y acuerdos con entidades técnicas científicas para la elaboración de estudios, escenarios e informes mediante la asistencia técnica y capacitación.</w:t>
      </w:r>
    </w:p>
    <w:p w14:paraId="420672EF" w14:textId="73DCFC66" w:rsidR="00657D48"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Al personal civil de las entidades se les debe convocar a participar en los talleres informativos que se generen para difundir las actividades de prevención y reducción que se desarrollen en el Sector. Igualmente, las IIAA apoyaran a sensibilizar a la población a través de acciones cívicas donde se fomente acciones de prevención y reducción que puede ejecutar la población que permita reducir su vulnerabilidad.</w:t>
      </w:r>
    </w:p>
    <w:p w14:paraId="0C741112" w14:textId="28B64760" w:rsidR="00657D48" w:rsidRPr="00AA572C" w:rsidRDefault="003F3EEB" w:rsidP="00AA572C">
      <w:pPr>
        <w:pStyle w:val="Prrafodelista"/>
        <w:numPr>
          <w:ilvl w:val="0"/>
          <w:numId w:val="24"/>
        </w:numPr>
        <w:spacing w:after="200"/>
        <w:jc w:val="both"/>
        <w:rPr>
          <w:rFonts w:ascii="Times New Roman" w:eastAsia="Times New Roman" w:hAnsi="Times New Roman" w:cs="Times New Roman"/>
        </w:rPr>
      </w:pPr>
      <w:r w:rsidRPr="00AA572C">
        <w:rPr>
          <w:rFonts w:ascii="Times New Roman" w:eastAsia="Times New Roman" w:hAnsi="Times New Roman" w:cs="Times New Roman"/>
        </w:rPr>
        <w:t xml:space="preserve">Eje N°3: </w:t>
      </w:r>
      <w:r w:rsidR="00A71C10" w:rsidRPr="00A71C10">
        <w:rPr>
          <w:rFonts w:ascii="Times New Roman" w:eastAsia="Times New Roman" w:hAnsi="Times New Roman" w:cs="Times New Roman"/>
        </w:rPr>
        <w:t>Reducir las condiciones de riesgo en las instalaciones de las entidades del Sector incluyendo la inversión pública con el enfoque de GRD</w:t>
      </w:r>
      <w:r w:rsidRPr="00AA572C">
        <w:rPr>
          <w:rFonts w:ascii="Times New Roman" w:eastAsia="Times New Roman" w:hAnsi="Times New Roman" w:cs="Times New Roman"/>
        </w:rPr>
        <w:t xml:space="preserve"> </w:t>
      </w:r>
    </w:p>
    <w:p w14:paraId="25AC7D25" w14:textId="17C30B27" w:rsidR="00A71C10" w:rsidRDefault="00A71C10">
      <w:pPr>
        <w:spacing w:after="200"/>
        <w:jc w:val="both"/>
        <w:rPr>
          <w:rFonts w:ascii="Times New Roman" w:eastAsia="Times New Roman" w:hAnsi="Times New Roman" w:cs="Times New Roman"/>
        </w:rPr>
      </w:pPr>
      <w:bookmarkStart w:id="206" w:name="_2b6jogx" w:colFirst="0" w:colLast="0"/>
      <w:bookmarkEnd w:id="206"/>
      <w:r w:rsidRPr="00A71C10">
        <w:rPr>
          <w:rFonts w:ascii="Times New Roman" w:eastAsia="Times New Roman" w:hAnsi="Times New Roman" w:cs="Times New Roman"/>
        </w:rPr>
        <w:t>Se debe promover con personal especializado la ejecución de las inspecciones y supervisiones técnicas de seguridad en las instalaciones del Sector Defensa. Se debe</w:t>
      </w:r>
      <w:r>
        <w:rPr>
          <w:rFonts w:ascii="Times New Roman" w:eastAsia="Times New Roman" w:hAnsi="Times New Roman" w:cs="Times New Roman"/>
        </w:rPr>
        <w:t xml:space="preserve"> </w:t>
      </w:r>
      <w:r w:rsidRPr="00A71C10">
        <w:rPr>
          <w:rFonts w:ascii="Times New Roman" w:eastAsia="Times New Roman" w:hAnsi="Times New Roman" w:cs="Times New Roman"/>
        </w:rPr>
        <w:lastRenderedPageBreak/>
        <w:t>fomentar la ejecución de medidas estructurales en el Sector a través de Proyectos de Inversión que permita mejorar los niveles de seguridad. Por último, se debe fortalecer las capacidades del personal que permita incorporar la GRD en las inversiones públicas a través de análisis de riesgo.</w:t>
      </w:r>
    </w:p>
    <w:p w14:paraId="28762B65" w14:textId="77777777" w:rsidR="00A71C10" w:rsidRDefault="00A71C10">
      <w:pPr>
        <w:spacing w:after="200"/>
        <w:jc w:val="both"/>
        <w:rPr>
          <w:rFonts w:ascii="Times New Roman" w:eastAsia="Times New Roman" w:hAnsi="Times New Roman" w:cs="Times New Roman"/>
          <w:b/>
        </w:rPr>
      </w:pPr>
      <w:r w:rsidRPr="00A71C10">
        <w:rPr>
          <w:rFonts w:ascii="Times New Roman" w:eastAsia="Times New Roman" w:hAnsi="Times New Roman" w:cs="Times New Roman"/>
          <w:b/>
        </w:rPr>
        <w:t>Proceso de preparación</w:t>
      </w:r>
    </w:p>
    <w:p w14:paraId="374A175D" w14:textId="77777777"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La propuesta para fortalecer el proceso de preparación es implementar el Plan de Preparación en el Sector Defensa que se ha aprobado bajo RM N°0396-2021-DE el cual tiene como objetivo que el Sector Defensa se anticipe y responda de forma eficiente y eficaz en caso de desastres o peligro inminente en atención a la población y a sus medios de vida en el marco de las competencias.</w:t>
      </w:r>
    </w:p>
    <w:p w14:paraId="34A47637" w14:textId="53284AA9" w:rsid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 xml:space="preserve">Al contar con el principal instrumento del proceso de Preparación se debe fomentar </w:t>
      </w:r>
      <w:r w:rsidR="00DD4F2B">
        <w:rPr>
          <w:rFonts w:ascii="Times New Roman" w:eastAsia="Times New Roman" w:hAnsi="Times New Roman" w:cs="Times New Roman"/>
        </w:rPr>
        <w:t xml:space="preserve">su </w:t>
      </w:r>
      <w:r w:rsidRPr="00A71C10">
        <w:rPr>
          <w:rFonts w:ascii="Times New Roman" w:eastAsia="Times New Roman" w:hAnsi="Times New Roman" w:cs="Times New Roman"/>
        </w:rPr>
        <w:t>implementación</w:t>
      </w:r>
      <w:r w:rsidR="00DD4F2B">
        <w:rPr>
          <w:rFonts w:ascii="Times New Roman" w:eastAsia="Times New Roman" w:hAnsi="Times New Roman" w:cs="Times New Roman"/>
        </w:rPr>
        <w:t>,</w:t>
      </w:r>
      <w:r w:rsidRPr="00A71C10">
        <w:rPr>
          <w:rFonts w:ascii="Times New Roman" w:eastAsia="Times New Roman" w:hAnsi="Times New Roman" w:cs="Times New Roman"/>
        </w:rPr>
        <w:t xml:space="preserve"> es por ello que se debe considerar desarrollar las 65 actividades que se han propuesta en el Plan de Preparación los cuales se van a desarrollar en el periodo 2021-2025:</w:t>
      </w:r>
    </w:p>
    <w:tbl>
      <w:tblPr>
        <w:tblStyle w:val="af0"/>
        <w:tblW w:w="7993"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363"/>
        <w:gridCol w:w="707"/>
        <w:gridCol w:w="696"/>
        <w:gridCol w:w="706"/>
        <w:gridCol w:w="711"/>
        <w:gridCol w:w="696"/>
      </w:tblGrid>
      <w:tr w:rsidR="00657D48" w14:paraId="03F6FD0A" w14:textId="77777777">
        <w:tc>
          <w:tcPr>
            <w:tcW w:w="3114" w:type="dxa"/>
          </w:tcPr>
          <w:p w14:paraId="465F62E1" w14:textId="77777777" w:rsidR="00657D48" w:rsidRDefault="003F3EEB">
            <w:pPr>
              <w:spacing w:after="200"/>
            </w:pPr>
            <w:r>
              <w:t xml:space="preserve">Subprocesos del Plan de Preparación del Sector </w:t>
            </w:r>
          </w:p>
        </w:tc>
        <w:tc>
          <w:tcPr>
            <w:tcW w:w="1363" w:type="dxa"/>
          </w:tcPr>
          <w:p w14:paraId="5461256F" w14:textId="77777777" w:rsidR="00657D48" w:rsidRDefault="003F3EEB">
            <w:pPr>
              <w:spacing w:after="200"/>
            </w:pPr>
            <w:r>
              <w:t>Total actividades</w:t>
            </w:r>
          </w:p>
        </w:tc>
        <w:tc>
          <w:tcPr>
            <w:tcW w:w="707" w:type="dxa"/>
          </w:tcPr>
          <w:p w14:paraId="2DE5E90B" w14:textId="77777777" w:rsidR="00657D48" w:rsidRDefault="003F3EEB">
            <w:pPr>
              <w:spacing w:after="200"/>
            </w:pPr>
            <w:r>
              <w:t>2021</w:t>
            </w:r>
          </w:p>
        </w:tc>
        <w:tc>
          <w:tcPr>
            <w:tcW w:w="696" w:type="dxa"/>
          </w:tcPr>
          <w:p w14:paraId="682A1D0A" w14:textId="77777777" w:rsidR="00657D48" w:rsidRDefault="003F3EEB">
            <w:pPr>
              <w:spacing w:after="200"/>
            </w:pPr>
            <w:r>
              <w:t>2022</w:t>
            </w:r>
          </w:p>
        </w:tc>
        <w:tc>
          <w:tcPr>
            <w:tcW w:w="706" w:type="dxa"/>
          </w:tcPr>
          <w:p w14:paraId="32A904DD" w14:textId="77777777" w:rsidR="00657D48" w:rsidRDefault="003F3EEB">
            <w:pPr>
              <w:spacing w:after="200"/>
            </w:pPr>
            <w:r>
              <w:t>2023</w:t>
            </w:r>
          </w:p>
        </w:tc>
        <w:tc>
          <w:tcPr>
            <w:tcW w:w="711" w:type="dxa"/>
          </w:tcPr>
          <w:p w14:paraId="192C7245" w14:textId="77777777" w:rsidR="00657D48" w:rsidRDefault="003F3EEB">
            <w:pPr>
              <w:spacing w:after="200"/>
            </w:pPr>
            <w:r>
              <w:t>2024</w:t>
            </w:r>
          </w:p>
        </w:tc>
        <w:tc>
          <w:tcPr>
            <w:tcW w:w="696" w:type="dxa"/>
          </w:tcPr>
          <w:p w14:paraId="59288EB1" w14:textId="77777777" w:rsidR="00657D48" w:rsidRDefault="003F3EEB">
            <w:pPr>
              <w:spacing w:after="200"/>
            </w:pPr>
            <w:r>
              <w:t>2025</w:t>
            </w:r>
          </w:p>
        </w:tc>
      </w:tr>
      <w:tr w:rsidR="00657D48" w14:paraId="7BF08677" w14:textId="77777777">
        <w:tc>
          <w:tcPr>
            <w:tcW w:w="3114" w:type="dxa"/>
          </w:tcPr>
          <w:p w14:paraId="355608DA" w14:textId="77777777" w:rsidR="00657D48" w:rsidRDefault="003F3EEB">
            <w:pPr>
              <w:spacing w:after="200"/>
            </w:pPr>
            <w:r>
              <w:t>Información sobre Escenarios de Riesgo de Desastres</w:t>
            </w:r>
          </w:p>
        </w:tc>
        <w:tc>
          <w:tcPr>
            <w:tcW w:w="1363" w:type="dxa"/>
          </w:tcPr>
          <w:p w14:paraId="409E7115" w14:textId="77777777" w:rsidR="00657D48" w:rsidRDefault="003F3EEB">
            <w:pPr>
              <w:spacing w:after="200"/>
            </w:pPr>
            <w:r>
              <w:t>2</w:t>
            </w:r>
          </w:p>
        </w:tc>
        <w:tc>
          <w:tcPr>
            <w:tcW w:w="707" w:type="dxa"/>
          </w:tcPr>
          <w:p w14:paraId="1964FCF6" w14:textId="77777777" w:rsidR="00657D48" w:rsidRDefault="003F3EEB">
            <w:pPr>
              <w:spacing w:after="200"/>
            </w:pPr>
            <w:r>
              <w:t>2</w:t>
            </w:r>
          </w:p>
        </w:tc>
        <w:tc>
          <w:tcPr>
            <w:tcW w:w="696" w:type="dxa"/>
          </w:tcPr>
          <w:p w14:paraId="52492409" w14:textId="77777777" w:rsidR="00657D48" w:rsidRDefault="003F3EEB">
            <w:pPr>
              <w:spacing w:after="200"/>
            </w:pPr>
            <w:r>
              <w:t>2</w:t>
            </w:r>
          </w:p>
        </w:tc>
        <w:tc>
          <w:tcPr>
            <w:tcW w:w="706" w:type="dxa"/>
          </w:tcPr>
          <w:p w14:paraId="5AF84FB9" w14:textId="77777777" w:rsidR="00657D48" w:rsidRDefault="003F3EEB">
            <w:pPr>
              <w:spacing w:after="200"/>
            </w:pPr>
            <w:r>
              <w:t>2</w:t>
            </w:r>
          </w:p>
        </w:tc>
        <w:tc>
          <w:tcPr>
            <w:tcW w:w="711" w:type="dxa"/>
          </w:tcPr>
          <w:p w14:paraId="03175FFA" w14:textId="77777777" w:rsidR="00657D48" w:rsidRDefault="003F3EEB">
            <w:pPr>
              <w:spacing w:after="200"/>
            </w:pPr>
            <w:r>
              <w:t>2</w:t>
            </w:r>
          </w:p>
        </w:tc>
        <w:tc>
          <w:tcPr>
            <w:tcW w:w="696" w:type="dxa"/>
          </w:tcPr>
          <w:p w14:paraId="32C99F49" w14:textId="77777777" w:rsidR="00657D48" w:rsidRDefault="003F3EEB">
            <w:pPr>
              <w:spacing w:after="200"/>
            </w:pPr>
            <w:r>
              <w:t>2</w:t>
            </w:r>
          </w:p>
        </w:tc>
      </w:tr>
      <w:tr w:rsidR="00657D48" w14:paraId="5E13D56E" w14:textId="77777777">
        <w:tc>
          <w:tcPr>
            <w:tcW w:w="3114" w:type="dxa"/>
          </w:tcPr>
          <w:p w14:paraId="556376FE" w14:textId="77777777" w:rsidR="00657D48" w:rsidRDefault="003F3EEB">
            <w:pPr>
              <w:spacing w:after="200"/>
            </w:pPr>
            <w:r>
              <w:t>Planeamiento</w:t>
            </w:r>
          </w:p>
        </w:tc>
        <w:tc>
          <w:tcPr>
            <w:tcW w:w="1363" w:type="dxa"/>
          </w:tcPr>
          <w:p w14:paraId="63D8E08A" w14:textId="77777777" w:rsidR="00657D48" w:rsidRDefault="003F3EEB">
            <w:pPr>
              <w:spacing w:after="200"/>
            </w:pPr>
            <w:r>
              <w:t>6</w:t>
            </w:r>
          </w:p>
        </w:tc>
        <w:tc>
          <w:tcPr>
            <w:tcW w:w="707" w:type="dxa"/>
          </w:tcPr>
          <w:p w14:paraId="122AE80D" w14:textId="77777777" w:rsidR="00657D48" w:rsidRDefault="003F3EEB">
            <w:pPr>
              <w:spacing w:after="200"/>
            </w:pPr>
            <w:r>
              <w:t>3</w:t>
            </w:r>
          </w:p>
        </w:tc>
        <w:tc>
          <w:tcPr>
            <w:tcW w:w="696" w:type="dxa"/>
          </w:tcPr>
          <w:p w14:paraId="1314ED01" w14:textId="77777777" w:rsidR="00657D48" w:rsidRDefault="003F3EEB">
            <w:pPr>
              <w:spacing w:after="200"/>
            </w:pPr>
            <w:r>
              <w:t>6</w:t>
            </w:r>
          </w:p>
        </w:tc>
        <w:tc>
          <w:tcPr>
            <w:tcW w:w="706" w:type="dxa"/>
          </w:tcPr>
          <w:p w14:paraId="24D4EE45" w14:textId="77777777" w:rsidR="00657D48" w:rsidRDefault="003F3EEB">
            <w:pPr>
              <w:spacing w:after="200"/>
            </w:pPr>
            <w:r>
              <w:t>6</w:t>
            </w:r>
          </w:p>
        </w:tc>
        <w:tc>
          <w:tcPr>
            <w:tcW w:w="711" w:type="dxa"/>
          </w:tcPr>
          <w:p w14:paraId="17C59BAB" w14:textId="77777777" w:rsidR="00657D48" w:rsidRDefault="003F3EEB">
            <w:pPr>
              <w:spacing w:after="200"/>
            </w:pPr>
            <w:r>
              <w:t>6</w:t>
            </w:r>
          </w:p>
        </w:tc>
        <w:tc>
          <w:tcPr>
            <w:tcW w:w="696" w:type="dxa"/>
          </w:tcPr>
          <w:p w14:paraId="12F1B75B" w14:textId="77777777" w:rsidR="00657D48" w:rsidRDefault="003F3EEB">
            <w:pPr>
              <w:spacing w:after="200"/>
            </w:pPr>
            <w:r>
              <w:t>6</w:t>
            </w:r>
          </w:p>
        </w:tc>
      </w:tr>
      <w:tr w:rsidR="00657D48" w14:paraId="371EE117" w14:textId="77777777">
        <w:tc>
          <w:tcPr>
            <w:tcW w:w="3114" w:type="dxa"/>
          </w:tcPr>
          <w:p w14:paraId="39EFBFB8" w14:textId="77777777" w:rsidR="00657D48" w:rsidRDefault="003F3EEB">
            <w:pPr>
              <w:spacing w:after="200"/>
            </w:pPr>
            <w:r>
              <w:t>Desarrollo de capacidades para la respuesta</w:t>
            </w:r>
          </w:p>
        </w:tc>
        <w:tc>
          <w:tcPr>
            <w:tcW w:w="1363" w:type="dxa"/>
          </w:tcPr>
          <w:p w14:paraId="3D9AB8C1" w14:textId="77777777" w:rsidR="00657D48" w:rsidRDefault="003F3EEB">
            <w:pPr>
              <w:spacing w:after="200"/>
            </w:pPr>
            <w:r>
              <w:t>50</w:t>
            </w:r>
          </w:p>
        </w:tc>
        <w:tc>
          <w:tcPr>
            <w:tcW w:w="707" w:type="dxa"/>
          </w:tcPr>
          <w:p w14:paraId="73AEA5D1" w14:textId="77777777" w:rsidR="00657D48" w:rsidRDefault="003F3EEB">
            <w:pPr>
              <w:spacing w:after="200"/>
            </w:pPr>
            <w:r>
              <w:t>9</w:t>
            </w:r>
          </w:p>
        </w:tc>
        <w:tc>
          <w:tcPr>
            <w:tcW w:w="696" w:type="dxa"/>
          </w:tcPr>
          <w:p w14:paraId="0E1C3DBD" w14:textId="77777777" w:rsidR="00657D48" w:rsidRDefault="003F3EEB">
            <w:pPr>
              <w:spacing w:after="200"/>
            </w:pPr>
            <w:r>
              <w:t>28</w:t>
            </w:r>
          </w:p>
        </w:tc>
        <w:tc>
          <w:tcPr>
            <w:tcW w:w="706" w:type="dxa"/>
          </w:tcPr>
          <w:p w14:paraId="6C79240B" w14:textId="77777777" w:rsidR="00657D48" w:rsidRDefault="003F3EEB">
            <w:pPr>
              <w:spacing w:after="200"/>
            </w:pPr>
            <w:r>
              <w:t>24</w:t>
            </w:r>
          </w:p>
        </w:tc>
        <w:tc>
          <w:tcPr>
            <w:tcW w:w="711" w:type="dxa"/>
          </w:tcPr>
          <w:p w14:paraId="7E68B686" w14:textId="77777777" w:rsidR="00657D48" w:rsidRDefault="003F3EEB">
            <w:pPr>
              <w:spacing w:after="200"/>
            </w:pPr>
            <w:r>
              <w:t>25</w:t>
            </w:r>
          </w:p>
        </w:tc>
        <w:tc>
          <w:tcPr>
            <w:tcW w:w="696" w:type="dxa"/>
          </w:tcPr>
          <w:p w14:paraId="122F2EB0" w14:textId="77777777" w:rsidR="00657D48" w:rsidRDefault="003F3EEB">
            <w:pPr>
              <w:spacing w:after="200"/>
            </w:pPr>
            <w:r>
              <w:t>24</w:t>
            </w:r>
          </w:p>
        </w:tc>
      </w:tr>
      <w:tr w:rsidR="00657D48" w14:paraId="00DE8835" w14:textId="77777777">
        <w:tc>
          <w:tcPr>
            <w:tcW w:w="3114" w:type="dxa"/>
          </w:tcPr>
          <w:p w14:paraId="36AE1050" w14:textId="77777777" w:rsidR="00657D48" w:rsidRDefault="003F3EEB">
            <w:pPr>
              <w:spacing w:after="200"/>
            </w:pPr>
            <w:r>
              <w:t>Gestión de Recursos para la respuesta</w:t>
            </w:r>
          </w:p>
        </w:tc>
        <w:tc>
          <w:tcPr>
            <w:tcW w:w="1363" w:type="dxa"/>
          </w:tcPr>
          <w:p w14:paraId="4EB4A88D" w14:textId="77777777" w:rsidR="00657D48" w:rsidRDefault="003F3EEB">
            <w:pPr>
              <w:spacing w:after="200"/>
            </w:pPr>
            <w:r>
              <w:t>2</w:t>
            </w:r>
          </w:p>
        </w:tc>
        <w:tc>
          <w:tcPr>
            <w:tcW w:w="707" w:type="dxa"/>
          </w:tcPr>
          <w:p w14:paraId="03B2FAC0" w14:textId="77777777" w:rsidR="00657D48" w:rsidRDefault="003F3EEB">
            <w:pPr>
              <w:spacing w:after="200"/>
            </w:pPr>
            <w:r>
              <w:t>1</w:t>
            </w:r>
          </w:p>
        </w:tc>
        <w:tc>
          <w:tcPr>
            <w:tcW w:w="696" w:type="dxa"/>
          </w:tcPr>
          <w:p w14:paraId="044A3CD8" w14:textId="77777777" w:rsidR="00657D48" w:rsidRDefault="003F3EEB">
            <w:pPr>
              <w:spacing w:after="200"/>
            </w:pPr>
            <w:r>
              <w:t>2</w:t>
            </w:r>
          </w:p>
        </w:tc>
        <w:tc>
          <w:tcPr>
            <w:tcW w:w="706" w:type="dxa"/>
          </w:tcPr>
          <w:p w14:paraId="2F0CDA93" w14:textId="77777777" w:rsidR="00657D48" w:rsidRDefault="003F3EEB">
            <w:pPr>
              <w:spacing w:after="200"/>
            </w:pPr>
            <w:r>
              <w:t>2</w:t>
            </w:r>
          </w:p>
        </w:tc>
        <w:tc>
          <w:tcPr>
            <w:tcW w:w="711" w:type="dxa"/>
          </w:tcPr>
          <w:p w14:paraId="1B2A0468" w14:textId="77777777" w:rsidR="00657D48" w:rsidRDefault="003F3EEB">
            <w:pPr>
              <w:spacing w:after="200"/>
            </w:pPr>
            <w:r>
              <w:t>2</w:t>
            </w:r>
          </w:p>
        </w:tc>
        <w:tc>
          <w:tcPr>
            <w:tcW w:w="696" w:type="dxa"/>
          </w:tcPr>
          <w:p w14:paraId="35F7DCCE" w14:textId="77777777" w:rsidR="00657D48" w:rsidRDefault="003F3EEB">
            <w:pPr>
              <w:spacing w:after="200"/>
            </w:pPr>
            <w:r>
              <w:t>2</w:t>
            </w:r>
          </w:p>
        </w:tc>
      </w:tr>
      <w:tr w:rsidR="00657D48" w14:paraId="3ACD8BEB" w14:textId="77777777">
        <w:tc>
          <w:tcPr>
            <w:tcW w:w="3114" w:type="dxa"/>
          </w:tcPr>
          <w:p w14:paraId="741C03A9" w14:textId="77777777" w:rsidR="00657D48" w:rsidRDefault="003F3EEB">
            <w:pPr>
              <w:spacing w:after="200"/>
            </w:pPr>
            <w:r>
              <w:t>Monitoreo y Alerta Temprana</w:t>
            </w:r>
          </w:p>
        </w:tc>
        <w:tc>
          <w:tcPr>
            <w:tcW w:w="1363" w:type="dxa"/>
          </w:tcPr>
          <w:p w14:paraId="71C56341" w14:textId="77777777" w:rsidR="00657D48" w:rsidRDefault="003F3EEB">
            <w:pPr>
              <w:spacing w:after="200"/>
            </w:pPr>
            <w:r>
              <w:t>3</w:t>
            </w:r>
          </w:p>
        </w:tc>
        <w:tc>
          <w:tcPr>
            <w:tcW w:w="707" w:type="dxa"/>
          </w:tcPr>
          <w:p w14:paraId="3C7D998B" w14:textId="77777777" w:rsidR="00657D48" w:rsidRDefault="003F3EEB">
            <w:pPr>
              <w:spacing w:after="200"/>
            </w:pPr>
            <w:r>
              <w:t>1</w:t>
            </w:r>
          </w:p>
        </w:tc>
        <w:tc>
          <w:tcPr>
            <w:tcW w:w="696" w:type="dxa"/>
          </w:tcPr>
          <w:p w14:paraId="397836BF" w14:textId="77777777" w:rsidR="00657D48" w:rsidRDefault="003F3EEB">
            <w:pPr>
              <w:spacing w:after="200"/>
            </w:pPr>
            <w:r>
              <w:t>2</w:t>
            </w:r>
          </w:p>
        </w:tc>
        <w:tc>
          <w:tcPr>
            <w:tcW w:w="706" w:type="dxa"/>
          </w:tcPr>
          <w:p w14:paraId="53D921A4" w14:textId="77777777" w:rsidR="00657D48" w:rsidRDefault="003F3EEB">
            <w:pPr>
              <w:spacing w:after="200"/>
            </w:pPr>
            <w:r>
              <w:t>2</w:t>
            </w:r>
          </w:p>
        </w:tc>
        <w:tc>
          <w:tcPr>
            <w:tcW w:w="711" w:type="dxa"/>
          </w:tcPr>
          <w:p w14:paraId="4BEC6BC4" w14:textId="77777777" w:rsidR="00657D48" w:rsidRDefault="003F3EEB">
            <w:pPr>
              <w:spacing w:after="200"/>
            </w:pPr>
            <w:r>
              <w:t>2</w:t>
            </w:r>
          </w:p>
        </w:tc>
        <w:tc>
          <w:tcPr>
            <w:tcW w:w="696" w:type="dxa"/>
          </w:tcPr>
          <w:p w14:paraId="47EF1A37" w14:textId="77777777" w:rsidR="00657D48" w:rsidRDefault="003F3EEB">
            <w:pPr>
              <w:spacing w:after="200"/>
            </w:pPr>
            <w:r>
              <w:t>2</w:t>
            </w:r>
          </w:p>
        </w:tc>
      </w:tr>
      <w:tr w:rsidR="00657D48" w14:paraId="202906BE" w14:textId="77777777">
        <w:tc>
          <w:tcPr>
            <w:tcW w:w="3114" w:type="dxa"/>
          </w:tcPr>
          <w:p w14:paraId="7A7D8B56" w14:textId="77777777" w:rsidR="00657D48" w:rsidRDefault="003F3EEB">
            <w:pPr>
              <w:spacing w:after="200"/>
            </w:pPr>
            <w:r>
              <w:t>Información Pública y Sensibilización</w:t>
            </w:r>
          </w:p>
        </w:tc>
        <w:tc>
          <w:tcPr>
            <w:tcW w:w="1363" w:type="dxa"/>
          </w:tcPr>
          <w:p w14:paraId="3D5761B2" w14:textId="77777777" w:rsidR="00657D48" w:rsidRDefault="003F3EEB">
            <w:pPr>
              <w:spacing w:after="200"/>
            </w:pPr>
            <w:r>
              <w:t>2</w:t>
            </w:r>
          </w:p>
        </w:tc>
        <w:tc>
          <w:tcPr>
            <w:tcW w:w="707" w:type="dxa"/>
          </w:tcPr>
          <w:p w14:paraId="5C4BC274" w14:textId="77777777" w:rsidR="00657D48" w:rsidRDefault="003F3EEB">
            <w:pPr>
              <w:spacing w:after="200"/>
            </w:pPr>
            <w:r>
              <w:t>2</w:t>
            </w:r>
          </w:p>
        </w:tc>
        <w:tc>
          <w:tcPr>
            <w:tcW w:w="696" w:type="dxa"/>
          </w:tcPr>
          <w:p w14:paraId="616FBF58" w14:textId="77777777" w:rsidR="00657D48" w:rsidRDefault="003F3EEB">
            <w:pPr>
              <w:spacing w:after="200"/>
            </w:pPr>
            <w:r>
              <w:t>2</w:t>
            </w:r>
          </w:p>
        </w:tc>
        <w:tc>
          <w:tcPr>
            <w:tcW w:w="706" w:type="dxa"/>
          </w:tcPr>
          <w:p w14:paraId="170C7FB1" w14:textId="77777777" w:rsidR="00657D48" w:rsidRDefault="003F3EEB">
            <w:pPr>
              <w:spacing w:after="200"/>
            </w:pPr>
            <w:r>
              <w:t>2</w:t>
            </w:r>
          </w:p>
        </w:tc>
        <w:tc>
          <w:tcPr>
            <w:tcW w:w="711" w:type="dxa"/>
          </w:tcPr>
          <w:p w14:paraId="558B7248" w14:textId="77777777" w:rsidR="00657D48" w:rsidRDefault="003F3EEB">
            <w:pPr>
              <w:spacing w:after="200"/>
            </w:pPr>
            <w:r>
              <w:t>2</w:t>
            </w:r>
          </w:p>
        </w:tc>
        <w:tc>
          <w:tcPr>
            <w:tcW w:w="696" w:type="dxa"/>
          </w:tcPr>
          <w:p w14:paraId="61AC0AD9" w14:textId="77777777" w:rsidR="00657D48" w:rsidRDefault="003F3EEB">
            <w:pPr>
              <w:spacing w:after="200"/>
            </w:pPr>
            <w:r>
              <w:t>2</w:t>
            </w:r>
          </w:p>
        </w:tc>
      </w:tr>
      <w:tr w:rsidR="00657D48" w14:paraId="0596064D" w14:textId="77777777">
        <w:trPr>
          <w:trHeight w:val="108"/>
        </w:trPr>
        <w:tc>
          <w:tcPr>
            <w:tcW w:w="3114" w:type="dxa"/>
          </w:tcPr>
          <w:p w14:paraId="60F46DAE" w14:textId="77777777" w:rsidR="00657D48" w:rsidRDefault="003F3EEB">
            <w:pPr>
              <w:spacing w:after="200"/>
            </w:pPr>
            <w:r>
              <w:t>Total</w:t>
            </w:r>
          </w:p>
        </w:tc>
        <w:tc>
          <w:tcPr>
            <w:tcW w:w="1363" w:type="dxa"/>
          </w:tcPr>
          <w:p w14:paraId="1C209111" w14:textId="77777777" w:rsidR="00657D48" w:rsidRDefault="003F3EEB">
            <w:pPr>
              <w:spacing w:after="200"/>
            </w:pPr>
            <w:r>
              <w:t>65</w:t>
            </w:r>
          </w:p>
        </w:tc>
        <w:tc>
          <w:tcPr>
            <w:tcW w:w="707" w:type="dxa"/>
          </w:tcPr>
          <w:p w14:paraId="2869FF63" w14:textId="77777777" w:rsidR="00657D48" w:rsidRDefault="003F3EEB">
            <w:pPr>
              <w:spacing w:after="200"/>
            </w:pPr>
            <w:r>
              <w:t>18</w:t>
            </w:r>
          </w:p>
        </w:tc>
        <w:tc>
          <w:tcPr>
            <w:tcW w:w="696" w:type="dxa"/>
          </w:tcPr>
          <w:p w14:paraId="05773403" w14:textId="77777777" w:rsidR="00657D48" w:rsidRDefault="003F3EEB">
            <w:pPr>
              <w:spacing w:after="200"/>
            </w:pPr>
            <w:r>
              <w:t>42</w:t>
            </w:r>
          </w:p>
        </w:tc>
        <w:tc>
          <w:tcPr>
            <w:tcW w:w="706" w:type="dxa"/>
          </w:tcPr>
          <w:p w14:paraId="49130FA9" w14:textId="77777777" w:rsidR="00657D48" w:rsidRDefault="003F3EEB">
            <w:pPr>
              <w:spacing w:after="200"/>
            </w:pPr>
            <w:r>
              <w:t>38</w:t>
            </w:r>
          </w:p>
        </w:tc>
        <w:tc>
          <w:tcPr>
            <w:tcW w:w="711" w:type="dxa"/>
          </w:tcPr>
          <w:p w14:paraId="7B4CA58D" w14:textId="77777777" w:rsidR="00657D48" w:rsidRDefault="003F3EEB">
            <w:pPr>
              <w:spacing w:after="200"/>
            </w:pPr>
            <w:r>
              <w:t>39</w:t>
            </w:r>
          </w:p>
        </w:tc>
        <w:tc>
          <w:tcPr>
            <w:tcW w:w="696" w:type="dxa"/>
          </w:tcPr>
          <w:p w14:paraId="46780649" w14:textId="77777777" w:rsidR="00657D48" w:rsidRDefault="003F3EEB">
            <w:pPr>
              <w:spacing w:after="200"/>
            </w:pPr>
            <w:r>
              <w:t>38</w:t>
            </w:r>
          </w:p>
        </w:tc>
      </w:tr>
    </w:tbl>
    <w:p w14:paraId="677C5B09" w14:textId="77777777" w:rsidR="00657D48" w:rsidRDefault="00657D48">
      <w:pPr>
        <w:spacing w:after="200"/>
        <w:jc w:val="both"/>
        <w:rPr>
          <w:rFonts w:ascii="Times New Roman" w:eastAsia="Times New Roman" w:hAnsi="Times New Roman" w:cs="Times New Roman"/>
        </w:rPr>
      </w:pPr>
    </w:p>
    <w:p w14:paraId="6C1B023A" w14:textId="63F50221" w:rsidR="00A71C10"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Aunque se considera importante desarrollar todas las actividades del Plan es necesario poder catalogar las actividades por nivel de prioridad, la misma que este directamente proporcional a su importancia (nivel 1: Alta, nivel 2: media, nivel 3: baja). Las variables que se van a considerar para medir la prioridad es la importancia</w:t>
      </w:r>
      <w:r>
        <w:rPr>
          <w:rFonts w:ascii="Times New Roman" w:eastAsia="Times New Roman" w:hAnsi="Times New Roman" w:cs="Times New Roman"/>
        </w:rPr>
        <w:t xml:space="preserve"> </w:t>
      </w:r>
      <w:r w:rsidRPr="00A71C10">
        <w:rPr>
          <w:rFonts w:ascii="Times New Roman" w:eastAsia="Times New Roman" w:hAnsi="Times New Roman" w:cs="Times New Roman"/>
        </w:rPr>
        <w:lastRenderedPageBreak/>
        <w:t>que tiene la acción en el subproceso del Plan de Preparación, así como se va considerar el factor tiempo que permite que algunas tengan nivel 2 o 3 porque se ejecuta en los años posteriores. La priorización arrojo que, del total de actividades, 21 responden al nivel 1, 24 al nivel 2 y 20 al nivel 3, a continuación, el detalle de los explicado:</w:t>
      </w:r>
    </w:p>
    <w:tbl>
      <w:tblPr>
        <w:tblStyle w:val="af1"/>
        <w:tblW w:w="7927"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11"/>
        <w:gridCol w:w="1216"/>
      </w:tblGrid>
      <w:tr w:rsidR="00657D48" w14:paraId="310D9071" w14:textId="77777777">
        <w:tc>
          <w:tcPr>
            <w:tcW w:w="7927" w:type="dxa"/>
            <w:gridSpan w:val="2"/>
          </w:tcPr>
          <w:p w14:paraId="05693B1E" w14:textId="36D8B78B" w:rsidR="00657D48" w:rsidRDefault="000401B3">
            <w:pPr>
              <w:spacing w:after="200"/>
              <w:jc w:val="center"/>
              <w:rPr>
                <w:b/>
              </w:rPr>
            </w:pPr>
            <w:r w:rsidRPr="000401B3">
              <w:rPr>
                <w:color w:val="FFFFFF" w:themeColor="background1"/>
                <w:sz w:val="10"/>
                <w:szCs w:val="10"/>
                <w:vertAlign w:val="subscript"/>
              </w:rPr>
              <w:t>5</w:t>
            </w:r>
            <w:r w:rsidR="003F3EEB">
              <w:rPr>
                <w:b/>
              </w:rPr>
              <w:t xml:space="preserve">Información </w:t>
            </w:r>
            <w:r w:rsidRPr="000401B3">
              <w:rPr>
                <w:color w:val="FFFFFF" w:themeColor="background1"/>
                <w:sz w:val="10"/>
                <w:szCs w:val="10"/>
                <w:vertAlign w:val="subscript"/>
              </w:rPr>
              <w:t>5</w:t>
            </w:r>
            <w:r w:rsidR="003F3EEB">
              <w:rPr>
                <w:b/>
              </w:rPr>
              <w:t xml:space="preserve">sobre </w:t>
            </w:r>
            <w:r w:rsidRPr="000401B3">
              <w:rPr>
                <w:color w:val="FFFFFF" w:themeColor="background1"/>
                <w:sz w:val="10"/>
                <w:szCs w:val="10"/>
                <w:vertAlign w:val="subscript"/>
              </w:rPr>
              <w:t>5</w:t>
            </w:r>
            <w:r w:rsidR="003F3EEB">
              <w:rPr>
                <w:b/>
              </w:rPr>
              <w:t xml:space="preserve">Escenarios de </w:t>
            </w:r>
            <w:r w:rsidRPr="000401B3">
              <w:rPr>
                <w:color w:val="FFFFFF" w:themeColor="background1"/>
                <w:sz w:val="10"/>
                <w:szCs w:val="10"/>
                <w:vertAlign w:val="subscript"/>
              </w:rPr>
              <w:t>5</w:t>
            </w:r>
            <w:r w:rsidR="003F3EEB">
              <w:rPr>
                <w:b/>
              </w:rPr>
              <w:t xml:space="preserve">Riesgo de </w:t>
            </w:r>
            <w:r w:rsidRPr="000401B3">
              <w:rPr>
                <w:color w:val="FFFFFF" w:themeColor="background1"/>
                <w:sz w:val="10"/>
                <w:szCs w:val="10"/>
                <w:vertAlign w:val="subscript"/>
              </w:rPr>
              <w:t>5</w:t>
            </w:r>
            <w:r w:rsidR="003F3EEB">
              <w:rPr>
                <w:b/>
              </w:rPr>
              <w:t>Desastres</w:t>
            </w:r>
          </w:p>
        </w:tc>
      </w:tr>
      <w:tr w:rsidR="00657D48" w14:paraId="0A4594BA" w14:textId="77777777">
        <w:tc>
          <w:tcPr>
            <w:tcW w:w="6711" w:type="dxa"/>
          </w:tcPr>
          <w:p w14:paraId="706B0EC6" w14:textId="316B1F1B" w:rsidR="00657D48" w:rsidRDefault="000401B3">
            <w:pPr>
              <w:spacing w:after="200"/>
              <w:jc w:val="center"/>
            </w:pPr>
            <w:r w:rsidRPr="000401B3">
              <w:rPr>
                <w:color w:val="FFFFFF" w:themeColor="background1"/>
                <w:sz w:val="10"/>
                <w:szCs w:val="10"/>
                <w:vertAlign w:val="subscript"/>
              </w:rPr>
              <w:t>5</w:t>
            </w:r>
            <w:r w:rsidR="003F3EEB">
              <w:rPr>
                <w:b/>
              </w:rPr>
              <w:t>Actividades</w:t>
            </w:r>
          </w:p>
        </w:tc>
        <w:tc>
          <w:tcPr>
            <w:tcW w:w="1216" w:type="dxa"/>
          </w:tcPr>
          <w:p w14:paraId="5622A5F5" w14:textId="75952CB1" w:rsidR="00657D48" w:rsidRDefault="000401B3">
            <w:pPr>
              <w:spacing w:after="200"/>
            </w:pPr>
            <w:r w:rsidRPr="000401B3">
              <w:rPr>
                <w:color w:val="FFFFFF" w:themeColor="background1"/>
                <w:sz w:val="10"/>
                <w:szCs w:val="10"/>
                <w:vertAlign w:val="subscript"/>
              </w:rPr>
              <w:t>5</w:t>
            </w:r>
            <w:r w:rsidR="003F3EEB">
              <w:rPr>
                <w:b/>
              </w:rPr>
              <w:t>Prioridad</w:t>
            </w:r>
          </w:p>
        </w:tc>
      </w:tr>
      <w:tr w:rsidR="00657D48" w14:paraId="3B2077EB" w14:textId="77777777">
        <w:tc>
          <w:tcPr>
            <w:tcW w:w="6711" w:type="dxa"/>
          </w:tcPr>
          <w:p w14:paraId="2A676C8D" w14:textId="1BA85B4F" w:rsidR="00657D48" w:rsidRDefault="000401B3">
            <w:pPr>
              <w:spacing w:after="200"/>
            </w:pPr>
            <w:r w:rsidRPr="000401B3">
              <w:rPr>
                <w:color w:val="FFFFFF" w:themeColor="background1"/>
                <w:sz w:val="10"/>
                <w:szCs w:val="10"/>
                <w:vertAlign w:val="subscript"/>
              </w:rPr>
              <w:t>5</w:t>
            </w:r>
            <w:r w:rsidR="003F3EEB">
              <w:t xml:space="preserve">Elaboración de </w:t>
            </w:r>
            <w:r w:rsidRPr="000401B3">
              <w:rPr>
                <w:color w:val="FFFFFF" w:themeColor="background1"/>
                <w:sz w:val="10"/>
                <w:szCs w:val="10"/>
                <w:vertAlign w:val="subscript"/>
              </w:rPr>
              <w:t>5</w:t>
            </w:r>
            <w:r w:rsidR="003F3EEB">
              <w:t xml:space="preserve">escenarios de </w:t>
            </w:r>
            <w:r w:rsidRPr="000401B3">
              <w:rPr>
                <w:color w:val="FFFFFF" w:themeColor="background1"/>
                <w:sz w:val="10"/>
                <w:szCs w:val="10"/>
                <w:vertAlign w:val="subscript"/>
              </w:rPr>
              <w:t>5</w:t>
            </w:r>
            <w:r w:rsidR="003F3EEB">
              <w:t xml:space="preserve">riesgo </w:t>
            </w:r>
            <w:r w:rsidRPr="000401B3">
              <w:rPr>
                <w:color w:val="FFFFFF" w:themeColor="background1"/>
                <w:sz w:val="10"/>
                <w:szCs w:val="10"/>
                <w:vertAlign w:val="subscript"/>
              </w:rPr>
              <w:t>5</w:t>
            </w:r>
            <w:r w:rsidR="003F3EEB">
              <w:t xml:space="preserve">inducidos </w:t>
            </w:r>
            <w:r w:rsidRPr="000401B3">
              <w:rPr>
                <w:color w:val="FFFFFF" w:themeColor="background1"/>
                <w:sz w:val="10"/>
                <w:szCs w:val="10"/>
                <w:vertAlign w:val="subscript"/>
              </w:rPr>
              <w:t>5</w:t>
            </w:r>
            <w:r w:rsidR="003F3EEB">
              <w:t xml:space="preserve">por </w:t>
            </w:r>
            <w:r w:rsidRPr="000401B3">
              <w:rPr>
                <w:color w:val="FFFFFF" w:themeColor="background1"/>
                <w:sz w:val="10"/>
                <w:szCs w:val="10"/>
                <w:vertAlign w:val="subscript"/>
              </w:rPr>
              <w:t>5</w:t>
            </w:r>
            <w:r w:rsidR="003F3EEB">
              <w:t xml:space="preserve">la </w:t>
            </w:r>
            <w:r w:rsidRPr="000401B3">
              <w:rPr>
                <w:color w:val="FFFFFF" w:themeColor="background1"/>
                <w:sz w:val="10"/>
                <w:szCs w:val="10"/>
                <w:vertAlign w:val="subscript"/>
              </w:rPr>
              <w:t>5</w:t>
            </w:r>
            <w:r w:rsidR="003F3EEB">
              <w:t xml:space="preserve">acción </w:t>
            </w:r>
            <w:r w:rsidRPr="000401B3">
              <w:rPr>
                <w:color w:val="FFFFFF" w:themeColor="background1"/>
                <w:sz w:val="10"/>
                <w:szCs w:val="10"/>
                <w:vertAlign w:val="subscript"/>
              </w:rPr>
              <w:t>5</w:t>
            </w:r>
            <w:r w:rsidR="003F3EEB">
              <w:t>humana (físicos, químicos</w:t>
            </w:r>
            <w:r w:rsidRPr="000401B3">
              <w:rPr>
                <w:color w:val="FFFFFF" w:themeColor="background1"/>
                <w:sz w:val="10"/>
                <w:szCs w:val="10"/>
                <w:vertAlign w:val="subscript"/>
              </w:rPr>
              <w:t>5</w:t>
            </w:r>
            <w:r w:rsidR="003F3EEB">
              <w:t xml:space="preserve"> y </w:t>
            </w:r>
            <w:r w:rsidRPr="000401B3">
              <w:rPr>
                <w:color w:val="FFFFFF" w:themeColor="background1"/>
                <w:sz w:val="10"/>
                <w:szCs w:val="10"/>
                <w:vertAlign w:val="subscript"/>
              </w:rPr>
              <w:t>5</w:t>
            </w:r>
            <w:r w:rsidR="003F3EEB">
              <w:t xml:space="preserve">biológicos). </w:t>
            </w:r>
          </w:p>
        </w:tc>
        <w:tc>
          <w:tcPr>
            <w:tcW w:w="1216" w:type="dxa"/>
          </w:tcPr>
          <w:p w14:paraId="5CBC33EA" w14:textId="77777777" w:rsidR="00657D48" w:rsidRDefault="003F3EEB">
            <w:pPr>
              <w:spacing w:after="200"/>
              <w:jc w:val="center"/>
            </w:pPr>
            <w:r>
              <w:t>1</w:t>
            </w:r>
          </w:p>
        </w:tc>
      </w:tr>
      <w:tr w:rsidR="00657D48" w14:paraId="63C15D43" w14:textId="77777777">
        <w:tc>
          <w:tcPr>
            <w:tcW w:w="6711" w:type="dxa"/>
          </w:tcPr>
          <w:p w14:paraId="67A53907" w14:textId="3CBFA22C" w:rsidR="00657D48" w:rsidRDefault="000401B3">
            <w:pPr>
              <w:spacing w:after="200"/>
            </w:pPr>
            <w:r w:rsidRPr="000401B3">
              <w:rPr>
                <w:color w:val="FFFFFF" w:themeColor="background1"/>
                <w:sz w:val="10"/>
                <w:szCs w:val="10"/>
                <w:vertAlign w:val="subscript"/>
              </w:rPr>
              <w:t>5</w:t>
            </w:r>
            <w:r w:rsidR="003F3EEB">
              <w:t>Elaboración</w:t>
            </w:r>
            <w:r w:rsidRPr="000401B3">
              <w:rPr>
                <w:color w:val="FFFFFF" w:themeColor="background1"/>
                <w:sz w:val="10"/>
                <w:szCs w:val="10"/>
                <w:vertAlign w:val="subscript"/>
              </w:rPr>
              <w:t>5</w:t>
            </w:r>
            <w:r w:rsidR="003F3EEB">
              <w:t xml:space="preserve"> de 50</w:t>
            </w:r>
            <w:r w:rsidRPr="000401B3">
              <w:rPr>
                <w:color w:val="FFFFFF" w:themeColor="background1"/>
                <w:sz w:val="10"/>
                <w:szCs w:val="10"/>
                <w:vertAlign w:val="subscript"/>
              </w:rPr>
              <w:t>5</w:t>
            </w:r>
            <w:r w:rsidR="003F3EEB">
              <w:t xml:space="preserve"> cartas</w:t>
            </w:r>
            <w:r w:rsidRPr="000401B3">
              <w:rPr>
                <w:color w:val="FFFFFF" w:themeColor="background1"/>
                <w:sz w:val="10"/>
                <w:szCs w:val="10"/>
                <w:vertAlign w:val="subscript"/>
              </w:rPr>
              <w:t>5</w:t>
            </w:r>
            <w:r w:rsidR="003F3EEB">
              <w:t xml:space="preserve"> de inundación</w:t>
            </w:r>
            <w:r w:rsidRPr="000401B3">
              <w:rPr>
                <w:color w:val="FFFFFF" w:themeColor="background1"/>
                <w:sz w:val="10"/>
                <w:szCs w:val="10"/>
                <w:vertAlign w:val="subscript"/>
              </w:rPr>
              <w:t>5</w:t>
            </w:r>
            <w:r w:rsidR="003F3EEB">
              <w:t xml:space="preserve"> por </w:t>
            </w:r>
            <w:r w:rsidRPr="000401B3">
              <w:rPr>
                <w:color w:val="FFFFFF" w:themeColor="background1"/>
                <w:sz w:val="10"/>
                <w:szCs w:val="10"/>
                <w:vertAlign w:val="subscript"/>
              </w:rPr>
              <w:t>5</w:t>
            </w:r>
            <w:r w:rsidR="003F3EEB">
              <w:t>tsunami.</w:t>
            </w:r>
          </w:p>
        </w:tc>
        <w:tc>
          <w:tcPr>
            <w:tcW w:w="1216" w:type="dxa"/>
          </w:tcPr>
          <w:p w14:paraId="4889A665" w14:textId="77777777" w:rsidR="00657D48" w:rsidRDefault="003F3EEB">
            <w:pPr>
              <w:spacing w:after="200"/>
              <w:jc w:val="center"/>
            </w:pPr>
            <w:r>
              <w:t>1</w:t>
            </w:r>
          </w:p>
        </w:tc>
      </w:tr>
      <w:tr w:rsidR="00657D48" w14:paraId="50D9E252" w14:textId="77777777">
        <w:tc>
          <w:tcPr>
            <w:tcW w:w="7927" w:type="dxa"/>
            <w:gridSpan w:val="2"/>
          </w:tcPr>
          <w:p w14:paraId="0C23B4C0" w14:textId="650207FB" w:rsidR="00657D48" w:rsidRDefault="000401B3">
            <w:pPr>
              <w:spacing w:after="200"/>
              <w:jc w:val="center"/>
              <w:rPr>
                <w:b/>
              </w:rPr>
            </w:pPr>
            <w:r w:rsidRPr="000401B3">
              <w:rPr>
                <w:color w:val="FFFFFF" w:themeColor="background1"/>
                <w:sz w:val="10"/>
                <w:szCs w:val="10"/>
                <w:vertAlign w:val="subscript"/>
              </w:rPr>
              <w:t>5</w:t>
            </w:r>
            <w:r w:rsidR="003F3EEB">
              <w:rPr>
                <w:b/>
              </w:rPr>
              <w:t>Planeamiento</w:t>
            </w:r>
          </w:p>
        </w:tc>
      </w:tr>
      <w:tr w:rsidR="00657D48" w14:paraId="0E572B86" w14:textId="77777777">
        <w:tc>
          <w:tcPr>
            <w:tcW w:w="6711" w:type="dxa"/>
          </w:tcPr>
          <w:p w14:paraId="51CC42F2" w14:textId="19F90A91" w:rsidR="00657D48" w:rsidRDefault="000401B3">
            <w:pPr>
              <w:spacing w:after="200"/>
              <w:jc w:val="center"/>
            </w:pPr>
            <w:r w:rsidRPr="000401B3">
              <w:rPr>
                <w:color w:val="FFFFFF" w:themeColor="background1"/>
                <w:sz w:val="10"/>
                <w:szCs w:val="10"/>
                <w:vertAlign w:val="subscript"/>
              </w:rPr>
              <w:t>5</w:t>
            </w:r>
            <w:r w:rsidR="003F3EEB">
              <w:rPr>
                <w:b/>
              </w:rPr>
              <w:t>Actividades</w:t>
            </w:r>
          </w:p>
        </w:tc>
        <w:tc>
          <w:tcPr>
            <w:tcW w:w="1216" w:type="dxa"/>
          </w:tcPr>
          <w:p w14:paraId="243131FB" w14:textId="77777777" w:rsidR="00657D48" w:rsidRDefault="003F3EEB">
            <w:pPr>
              <w:spacing w:after="200"/>
            </w:pPr>
            <w:r>
              <w:rPr>
                <w:b/>
              </w:rPr>
              <w:t>Prioridad</w:t>
            </w:r>
          </w:p>
        </w:tc>
      </w:tr>
      <w:tr w:rsidR="00657D48" w14:paraId="6D7DCD69" w14:textId="77777777">
        <w:tc>
          <w:tcPr>
            <w:tcW w:w="6711" w:type="dxa"/>
          </w:tcPr>
          <w:p w14:paraId="412D7624" w14:textId="3FE48498" w:rsidR="00657D48" w:rsidRDefault="000401B3">
            <w:pPr>
              <w:spacing w:after="200"/>
            </w:pPr>
            <w:r w:rsidRPr="000401B3">
              <w:rPr>
                <w:color w:val="FFFFFF" w:themeColor="background1"/>
                <w:sz w:val="10"/>
                <w:szCs w:val="10"/>
                <w:vertAlign w:val="subscript"/>
              </w:rPr>
              <w:t>5</w:t>
            </w:r>
            <w:r w:rsidR="003F3EEB">
              <w:t>Implementación</w:t>
            </w:r>
            <w:r w:rsidRPr="000401B3">
              <w:rPr>
                <w:color w:val="FFFFFF" w:themeColor="background1"/>
                <w:sz w:val="10"/>
                <w:szCs w:val="10"/>
                <w:vertAlign w:val="subscript"/>
              </w:rPr>
              <w:t>5</w:t>
            </w:r>
            <w:r w:rsidR="003F3EEB">
              <w:t xml:space="preserve"> del </w:t>
            </w:r>
            <w:r w:rsidRPr="000401B3">
              <w:rPr>
                <w:color w:val="FFFFFF" w:themeColor="background1"/>
                <w:sz w:val="10"/>
                <w:szCs w:val="10"/>
                <w:vertAlign w:val="subscript"/>
              </w:rPr>
              <w:t>5</w:t>
            </w:r>
            <w:r w:rsidR="003F3EEB">
              <w:t xml:space="preserve">Plan de </w:t>
            </w:r>
            <w:r w:rsidRPr="000401B3">
              <w:rPr>
                <w:color w:val="FFFFFF" w:themeColor="background1"/>
                <w:sz w:val="10"/>
                <w:szCs w:val="10"/>
                <w:vertAlign w:val="subscript"/>
              </w:rPr>
              <w:t>5</w:t>
            </w:r>
            <w:r w:rsidR="003F3EEB">
              <w:t xml:space="preserve">Contingencia </w:t>
            </w:r>
            <w:r w:rsidRPr="000401B3">
              <w:rPr>
                <w:color w:val="FFFFFF" w:themeColor="background1"/>
                <w:sz w:val="10"/>
                <w:szCs w:val="10"/>
                <w:vertAlign w:val="subscript"/>
              </w:rPr>
              <w:t>5</w:t>
            </w:r>
            <w:r w:rsidR="003F3EEB">
              <w:t xml:space="preserve">del </w:t>
            </w:r>
            <w:r w:rsidRPr="000401B3">
              <w:rPr>
                <w:color w:val="FFFFFF" w:themeColor="background1"/>
                <w:sz w:val="10"/>
                <w:szCs w:val="10"/>
                <w:vertAlign w:val="subscript"/>
              </w:rPr>
              <w:t>5</w:t>
            </w:r>
            <w:r w:rsidR="003F3EEB">
              <w:t xml:space="preserve">Sector </w:t>
            </w:r>
            <w:r w:rsidRPr="000401B3">
              <w:rPr>
                <w:color w:val="FFFFFF" w:themeColor="background1"/>
                <w:sz w:val="10"/>
                <w:szCs w:val="10"/>
                <w:vertAlign w:val="subscript"/>
              </w:rPr>
              <w:t>5</w:t>
            </w:r>
            <w:r w:rsidR="003F3EEB">
              <w:t xml:space="preserve">Defensa </w:t>
            </w:r>
            <w:r w:rsidRPr="000401B3">
              <w:rPr>
                <w:color w:val="FFFFFF" w:themeColor="background1"/>
                <w:sz w:val="10"/>
                <w:szCs w:val="10"/>
                <w:vertAlign w:val="subscript"/>
              </w:rPr>
              <w:t>5</w:t>
            </w:r>
            <w:r w:rsidR="003F3EEB">
              <w:t xml:space="preserve">ante </w:t>
            </w:r>
            <w:r w:rsidRPr="000401B3">
              <w:rPr>
                <w:color w:val="FFFFFF" w:themeColor="background1"/>
                <w:sz w:val="10"/>
                <w:szCs w:val="10"/>
                <w:vertAlign w:val="subscript"/>
              </w:rPr>
              <w:t>5</w:t>
            </w:r>
            <w:r w:rsidR="003F3EEB">
              <w:t xml:space="preserve">Sismo de gran </w:t>
            </w:r>
            <w:r w:rsidRPr="000401B3">
              <w:rPr>
                <w:color w:val="FFFFFF" w:themeColor="background1"/>
                <w:sz w:val="10"/>
                <w:szCs w:val="10"/>
                <w:vertAlign w:val="subscript"/>
              </w:rPr>
              <w:t>5</w:t>
            </w:r>
            <w:r w:rsidR="003F3EEB">
              <w:t xml:space="preserve">magnitud </w:t>
            </w:r>
            <w:r w:rsidRPr="000401B3">
              <w:rPr>
                <w:color w:val="FFFFFF" w:themeColor="background1"/>
                <w:sz w:val="10"/>
                <w:szCs w:val="10"/>
                <w:vertAlign w:val="subscript"/>
              </w:rPr>
              <w:t>5</w:t>
            </w:r>
            <w:r w:rsidR="003F3EEB">
              <w:t xml:space="preserve">seguido de </w:t>
            </w:r>
            <w:r w:rsidRPr="000401B3">
              <w:rPr>
                <w:color w:val="FFFFFF" w:themeColor="background1"/>
                <w:sz w:val="10"/>
                <w:szCs w:val="10"/>
                <w:vertAlign w:val="subscript"/>
              </w:rPr>
              <w:t>5</w:t>
            </w:r>
            <w:r w:rsidR="003F3EEB">
              <w:t xml:space="preserve">Tsunami </w:t>
            </w:r>
            <w:r w:rsidRPr="000401B3">
              <w:rPr>
                <w:color w:val="FFFFFF" w:themeColor="background1"/>
                <w:sz w:val="10"/>
                <w:szCs w:val="10"/>
                <w:vertAlign w:val="subscript"/>
              </w:rPr>
              <w:t>5</w:t>
            </w:r>
            <w:r w:rsidR="003F3EEB">
              <w:t xml:space="preserve">frente a la </w:t>
            </w:r>
            <w:r w:rsidRPr="000401B3">
              <w:rPr>
                <w:color w:val="FFFFFF" w:themeColor="background1"/>
                <w:sz w:val="10"/>
                <w:szCs w:val="10"/>
                <w:vertAlign w:val="subscript"/>
              </w:rPr>
              <w:t>5</w:t>
            </w:r>
            <w:r w:rsidR="003F3EEB">
              <w:t xml:space="preserve">costa </w:t>
            </w:r>
            <w:r w:rsidRPr="000401B3">
              <w:rPr>
                <w:color w:val="FFFFFF" w:themeColor="background1"/>
                <w:sz w:val="10"/>
                <w:szCs w:val="10"/>
                <w:vertAlign w:val="subscript"/>
              </w:rPr>
              <w:t>5</w:t>
            </w:r>
            <w:r w:rsidR="003F3EEB">
              <w:t xml:space="preserve">central del </w:t>
            </w:r>
            <w:r w:rsidRPr="000401B3">
              <w:rPr>
                <w:color w:val="FFFFFF" w:themeColor="background1"/>
                <w:sz w:val="10"/>
                <w:szCs w:val="10"/>
                <w:vertAlign w:val="subscript"/>
              </w:rPr>
              <w:t>5</w:t>
            </w:r>
            <w:r w:rsidR="003F3EEB">
              <w:t xml:space="preserve">Perú. </w:t>
            </w:r>
          </w:p>
        </w:tc>
        <w:tc>
          <w:tcPr>
            <w:tcW w:w="1216" w:type="dxa"/>
          </w:tcPr>
          <w:p w14:paraId="081A2157" w14:textId="77777777" w:rsidR="00657D48" w:rsidRDefault="003F3EEB">
            <w:pPr>
              <w:spacing w:after="200"/>
              <w:jc w:val="center"/>
            </w:pPr>
            <w:r>
              <w:t>1</w:t>
            </w:r>
          </w:p>
        </w:tc>
      </w:tr>
      <w:tr w:rsidR="00657D48" w14:paraId="613A1A53" w14:textId="77777777">
        <w:tc>
          <w:tcPr>
            <w:tcW w:w="6711" w:type="dxa"/>
          </w:tcPr>
          <w:p w14:paraId="0E3E27F0" w14:textId="19F750D4" w:rsidR="00657D48" w:rsidRDefault="000401B3">
            <w:pPr>
              <w:spacing w:after="200"/>
            </w:pPr>
            <w:r w:rsidRPr="000401B3">
              <w:rPr>
                <w:color w:val="FFFFFF" w:themeColor="background1"/>
                <w:sz w:val="10"/>
                <w:szCs w:val="10"/>
                <w:vertAlign w:val="subscript"/>
              </w:rPr>
              <w:t>5</w:t>
            </w:r>
            <w:r w:rsidR="003F3EEB">
              <w:t xml:space="preserve">Implementación del </w:t>
            </w:r>
            <w:r w:rsidRPr="000401B3">
              <w:rPr>
                <w:color w:val="FFFFFF" w:themeColor="background1"/>
                <w:sz w:val="10"/>
                <w:szCs w:val="10"/>
                <w:vertAlign w:val="subscript"/>
              </w:rPr>
              <w:t>5</w:t>
            </w:r>
            <w:r w:rsidR="003F3EEB">
              <w:t xml:space="preserve">Plan de </w:t>
            </w:r>
            <w:r w:rsidRPr="000401B3">
              <w:rPr>
                <w:color w:val="FFFFFF" w:themeColor="background1"/>
                <w:sz w:val="10"/>
                <w:szCs w:val="10"/>
                <w:vertAlign w:val="subscript"/>
              </w:rPr>
              <w:t>5</w:t>
            </w:r>
            <w:r w:rsidR="003F3EEB">
              <w:t xml:space="preserve">Contingencia del </w:t>
            </w:r>
            <w:r w:rsidRPr="000401B3">
              <w:rPr>
                <w:color w:val="FFFFFF" w:themeColor="background1"/>
                <w:sz w:val="10"/>
                <w:szCs w:val="10"/>
                <w:vertAlign w:val="subscript"/>
              </w:rPr>
              <w:t>5</w:t>
            </w:r>
            <w:r w:rsidR="003F3EEB">
              <w:t xml:space="preserve">Sector </w:t>
            </w:r>
            <w:r w:rsidRPr="000401B3">
              <w:rPr>
                <w:color w:val="FFFFFF" w:themeColor="background1"/>
                <w:sz w:val="10"/>
                <w:szCs w:val="10"/>
                <w:vertAlign w:val="subscript"/>
              </w:rPr>
              <w:t>5</w:t>
            </w:r>
            <w:r w:rsidR="003F3EEB">
              <w:t xml:space="preserve">Defensa </w:t>
            </w:r>
            <w:r w:rsidRPr="000401B3">
              <w:rPr>
                <w:color w:val="FFFFFF" w:themeColor="background1"/>
                <w:sz w:val="10"/>
                <w:szCs w:val="10"/>
                <w:vertAlign w:val="subscript"/>
              </w:rPr>
              <w:t>5</w:t>
            </w:r>
            <w:r w:rsidR="003F3EEB">
              <w:t xml:space="preserve">ante </w:t>
            </w:r>
            <w:r w:rsidRPr="000401B3">
              <w:rPr>
                <w:color w:val="FFFFFF" w:themeColor="background1"/>
                <w:sz w:val="10"/>
                <w:szCs w:val="10"/>
                <w:vertAlign w:val="subscript"/>
              </w:rPr>
              <w:t>5</w:t>
            </w:r>
            <w:r w:rsidR="003F3EEB">
              <w:t xml:space="preserve">Lluvias Intensas.  </w:t>
            </w:r>
          </w:p>
        </w:tc>
        <w:tc>
          <w:tcPr>
            <w:tcW w:w="1216" w:type="dxa"/>
          </w:tcPr>
          <w:p w14:paraId="018EE028" w14:textId="77777777" w:rsidR="00657D48" w:rsidRDefault="003F3EEB">
            <w:pPr>
              <w:spacing w:after="200"/>
              <w:jc w:val="center"/>
            </w:pPr>
            <w:r>
              <w:t>1</w:t>
            </w:r>
          </w:p>
        </w:tc>
      </w:tr>
      <w:tr w:rsidR="00657D48" w14:paraId="79D5B85B" w14:textId="77777777">
        <w:tc>
          <w:tcPr>
            <w:tcW w:w="6711" w:type="dxa"/>
          </w:tcPr>
          <w:p w14:paraId="0D10BA0C" w14:textId="2EDD0227" w:rsidR="00657D48" w:rsidRDefault="003F3EEB">
            <w:pPr>
              <w:spacing w:after="200"/>
            </w:pPr>
            <w:r>
              <w:t>Elaboración</w:t>
            </w:r>
            <w:r w:rsidR="00DD586D" w:rsidRPr="000401B3">
              <w:rPr>
                <w:color w:val="FFFFFF" w:themeColor="background1"/>
                <w:sz w:val="10"/>
                <w:szCs w:val="10"/>
                <w:vertAlign w:val="subscript"/>
              </w:rPr>
              <w:t>5</w:t>
            </w:r>
            <w:r>
              <w:t xml:space="preserve"> e implementación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Operaciones de </w:t>
            </w:r>
            <w:r w:rsidR="00DD586D" w:rsidRPr="000401B3">
              <w:rPr>
                <w:color w:val="FFFFFF" w:themeColor="background1"/>
                <w:sz w:val="10"/>
                <w:szCs w:val="10"/>
                <w:vertAlign w:val="subscript"/>
              </w:rPr>
              <w:t>5</w:t>
            </w:r>
            <w:r>
              <w:t xml:space="preserve">Emergencia del Sector </w:t>
            </w:r>
            <w:r w:rsidR="00DD586D" w:rsidRPr="000401B3">
              <w:rPr>
                <w:color w:val="FFFFFF" w:themeColor="background1"/>
                <w:sz w:val="10"/>
                <w:szCs w:val="10"/>
                <w:vertAlign w:val="subscript"/>
              </w:rPr>
              <w:t>5</w:t>
            </w:r>
            <w:r>
              <w:t>Defensa.</w:t>
            </w:r>
          </w:p>
        </w:tc>
        <w:tc>
          <w:tcPr>
            <w:tcW w:w="1216" w:type="dxa"/>
          </w:tcPr>
          <w:p w14:paraId="55BE1FC5" w14:textId="77777777" w:rsidR="00657D48" w:rsidRDefault="003F3EEB">
            <w:pPr>
              <w:spacing w:after="200"/>
              <w:jc w:val="center"/>
            </w:pPr>
            <w:r>
              <w:t>1</w:t>
            </w:r>
          </w:p>
        </w:tc>
      </w:tr>
      <w:tr w:rsidR="00657D48" w14:paraId="204D52EA" w14:textId="77777777">
        <w:tc>
          <w:tcPr>
            <w:tcW w:w="6711" w:type="dxa"/>
          </w:tcPr>
          <w:p w14:paraId="170E7B90" w14:textId="294DDFF5" w:rsidR="00657D48" w:rsidRDefault="003F3EEB">
            <w:pPr>
              <w:spacing w:after="200"/>
            </w:pPr>
            <w:r>
              <w:t>Elaboración</w:t>
            </w:r>
            <w:r w:rsidR="00DD586D" w:rsidRPr="000401B3">
              <w:rPr>
                <w:color w:val="FFFFFF" w:themeColor="background1"/>
                <w:sz w:val="10"/>
                <w:szCs w:val="10"/>
                <w:vertAlign w:val="subscript"/>
              </w:rPr>
              <w:t>5</w:t>
            </w:r>
            <w:r>
              <w:t xml:space="preserve"> e </w:t>
            </w:r>
            <w:r w:rsidR="00DD586D" w:rsidRPr="000401B3">
              <w:rPr>
                <w:color w:val="FFFFFF" w:themeColor="background1"/>
                <w:sz w:val="10"/>
                <w:szCs w:val="10"/>
                <w:vertAlign w:val="subscript"/>
              </w:rPr>
              <w:t>5</w:t>
            </w:r>
            <w:r>
              <w:t xml:space="preserve">implementación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Contingencia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Sector </w:t>
            </w:r>
            <w:r w:rsidR="00DD586D" w:rsidRPr="000401B3">
              <w:rPr>
                <w:color w:val="FFFFFF" w:themeColor="background1"/>
                <w:sz w:val="10"/>
                <w:szCs w:val="10"/>
                <w:vertAlign w:val="subscript"/>
              </w:rPr>
              <w:t>5</w:t>
            </w:r>
            <w:r>
              <w:t xml:space="preserve">Defensa ante </w:t>
            </w:r>
            <w:r w:rsidR="00DD586D" w:rsidRPr="000401B3">
              <w:rPr>
                <w:color w:val="FFFFFF" w:themeColor="background1"/>
                <w:sz w:val="10"/>
                <w:szCs w:val="10"/>
                <w:vertAlign w:val="subscript"/>
              </w:rPr>
              <w:t>5</w:t>
            </w:r>
            <w:r>
              <w:t xml:space="preserve">Bajas </w:t>
            </w:r>
            <w:r w:rsidR="00DD586D" w:rsidRPr="000401B3">
              <w:rPr>
                <w:color w:val="FFFFFF" w:themeColor="background1"/>
                <w:sz w:val="10"/>
                <w:szCs w:val="10"/>
                <w:vertAlign w:val="subscript"/>
              </w:rPr>
              <w:t>5</w:t>
            </w:r>
            <w:r>
              <w:t xml:space="preserve">Temperaturas. </w:t>
            </w:r>
          </w:p>
        </w:tc>
        <w:tc>
          <w:tcPr>
            <w:tcW w:w="1216" w:type="dxa"/>
          </w:tcPr>
          <w:p w14:paraId="21A70A92" w14:textId="77777777" w:rsidR="00657D48" w:rsidRDefault="003F3EEB">
            <w:pPr>
              <w:spacing w:after="200"/>
              <w:jc w:val="center"/>
            </w:pPr>
            <w:r>
              <w:t>1</w:t>
            </w:r>
          </w:p>
        </w:tc>
      </w:tr>
      <w:tr w:rsidR="00657D48" w14:paraId="4B0D2907" w14:textId="77777777">
        <w:tc>
          <w:tcPr>
            <w:tcW w:w="6711" w:type="dxa"/>
          </w:tcPr>
          <w:p w14:paraId="5172A69C" w14:textId="1081A2F3" w:rsidR="00657D48" w:rsidRDefault="003F3EEB">
            <w:pPr>
              <w:spacing w:after="200"/>
            </w:pPr>
            <w:r>
              <w:t>Elaboración</w:t>
            </w:r>
            <w:r w:rsidR="00DD586D" w:rsidRPr="000401B3">
              <w:rPr>
                <w:color w:val="FFFFFF" w:themeColor="background1"/>
                <w:sz w:val="10"/>
                <w:szCs w:val="10"/>
                <w:vertAlign w:val="subscript"/>
              </w:rPr>
              <w:t>5</w:t>
            </w:r>
            <w:r>
              <w:t xml:space="preserve"> e </w:t>
            </w:r>
            <w:r w:rsidR="00DD586D" w:rsidRPr="000401B3">
              <w:rPr>
                <w:color w:val="FFFFFF" w:themeColor="background1"/>
                <w:sz w:val="10"/>
                <w:szCs w:val="10"/>
                <w:vertAlign w:val="subscript"/>
              </w:rPr>
              <w:t>5</w:t>
            </w:r>
            <w:r>
              <w:t xml:space="preserve">implementación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Continuidad </w:t>
            </w:r>
            <w:r w:rsidR="00DD586D" w:rsidRPr="000401B3">
              <w:rPr>
                <w:color w:val="FFFFFF" w:themeColor="background1"/>
                <w:sz w:val="10"/>
                <w:szCs w:val="10"/>
                <w:vertAlign w:val="subscript"/>
              </w:rPr>
              <w:t>5</w:t>
            </w:r>
            <w:r>
              <w:t xml:space="preserve">Operativa del </w:t>
            </w:r>
            <w:r w:rsidR="00DD586D" w:rsidRPr="000401B3">
              <w:rPr>
                <w:color w:val="FFFFFF" w:themeColor="background1"/>
                <w:sz w:val="10"/>
                <w:szCs w:val="10"/>
                <w:vertAlign w:val="subscript"/>
              </w:rPr>
              <w:t>5</w:t>
            </w:r>
            <w:r>
              <w:t>MINDEF.</w:t>
            </w:r>
          </w:p>
        </w:tc>
        <w:tc>
          <w:tcPr>
            <w:tcW w:w="1216" w:type="dxa"/>
          </w:tcPr>
          <w:p w14:paraId="366E9314" w14:textId="77777777" w:rsidR="00657D48" w:rsidRDefault="003F3EEB">
            <w:pPr>
              <w:spacing w:after="200"/>
              <w:jc w:val="center"/>
            </w:pPr>
            <w:r>
              <w:t>1</w:t>
            </w:r>
          </w:p>
        </w:tc>
      </w:tr>
      <w:tr w:rsidR="00657D48" w14:paraId="49F515AD" w14:textId="77777777">
        <w:tc>
          <w:tcPr>
            <w:tcW w:w="6711" w:type="dxa"/>
          </w:tcPr>
          <w:p w14:paraId="52EBC550" w14:textId="5AE75877" w:rsidR="00657D48" w:rsidRDefault="003F3EEB">
            <w:pPr>
              <w:spacing w:after="200"/>
            </w:pPr>
            <w:r>
              <w:t>Elaboración</w:t>
            </w:r>
            <w:r w:rsidR="00DD586D" w:rsidRPr="000401B3">
              <w:rPr>
                <w:color w:val="FFFFFF" w:themeColor="background1"/>
                <w:sz w:val="10"/>
                <w:szCs w:val="10"/>
                <w:vertAlign w:val="subscript"/>
              </w:rPr>
              <w:t>5</w:t>
            </w:r>
            <w:r>
              <w:t xml:space="preserve"> e </w:t>
            </w:r>
            <w:r w:rsidR="00DD586D" w:rsidRPr="000401B3">
              <w:rPr>
                <w:color w:val="FFFFFF" w:themeColor="background1"/>
                <w:sz w:val="10"/>
                <w:szCs w:val="10"/>
                <w:vertAlign w:val="subscript"/>
              </w:rPr>
              <w:t>5</w:t>
            </w:r>
            <w:r>
              <w:t xml:space="preserve">implementación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Educación </w:t>
            </w:r>
            <w:r w:rsidR="00DD586D" w:rsidRPr="000401B3">
              <w:rPr>
                <w:color w:val="FFFFFF" w:themeColor="background1"/>
                <w:sz w:val="10"/>
                <w:szCs w:val="10"/>
                <w:vertAlign w:val="subscript"/>
              </w:rPr>
              <w:t>5</w:t>
            </w:r>
            <w:r>
              <w:t xml:space="preserve">Comunitaria del </w:t>
            </w:r>
            <w:r w:rsidR="00DD586D" w:rsidRPr="000401B3">
              <w:rPr>
                <w:color w:val="FFFFFF" w:themeColor="background1"/>
                <w:sz w:val="10"/>
                <w:szCs w:val="10"/>
                <w:vertAlign w:val="subscript"/>
              </w:rPr>
              <w:t>5</w:t>
            </w:r>
            <w:r>
              <w:t>Sector Defensa</w:t>
            </w:r>
            <w:r w:rsidR="00DD586D">
              <w:t>.</w:t>
            </w:r>
          </w:p>
        </w:tc>
        <w:tc>
          <w:tcPr>
            <w:tcW w:w="1216" w:type="dxa"/>
          </w:tcPr>
          <w:p w14:paraId="39FD6AC0" w14:textId="77777777" w:rsidR="00657D48" w:rsidRDefault="003F3EEB">
            <w:pPr>
              <w:spacing w:after="200"/>
              <w:jc w:val="center"/>
            </w:pPr>
            <w:r>
              <w:t>1</w:t>
            </w:r>
          </w:p>
        </w:tc>
      </w:tr>
      <w:tr w:rsidR="00657D48" w14:paraId="6605A2D1" w14:textId="77777777">
        <w:tc>
          <w:tcPr>
            <w:tcW w:w="7927" w:type="dxa"/>
            <w:gridSpan w:val="2"/>
          </w:tcPr>
          <w:p w14:paraId="5A4D6417" w14:textId="14393C9F" w:rsidR="00657D48" w:rsidRDefault="00DD586D">
            <w:pPr>
              <w:spacing w:after="200"/>
              <w:jc w:val="center"/>
              <w:rPr>
                <w:b/>
              </w:rPr>
            </w:pPr>
            <w:r w:rsidRPr="000401B3">
              <w:rPr>
                <w:color w:val="FFFFFF" w:themeColor="background1"/>
                <w:sz w:val="10"/>
                <w:szCs w:val="10"/>
                <w:vertAlign w:val="subscript"/>
              </w:rPr>
              <w:t>5</w:t>
            </w:r>
            <w:r w:rsidR="003F3EEB">
              <w:rPr>
                <w:b/>
              </w:rPr>
              <w:t xml:space="preserve">Desarrollo de </w:t>
            </w:r>
            <w:r w:rsidRPr="000401B3">
              <w:rPr>
                <w:color w:val="FFFFFF" w:themeColor="background1"/>
                <w:sz w:val="10"/>
                <w:szCs w:val="10"/>
                <w:vertAlign w:val="subscript"/>
              </w:rPr>
              <w:t>5</w:t>
            </w:r>
            <w:r w:rsidR="003F3EEB">
              <w:rPr>
                <w:b/>
              </w:rPr>
              <w:t xml:space="preserve">capacidades </w:t>
            </w:r>
            <w:r w:rsidRPr="000401B3">
              <w:rPr>
                <w:color w:val="FFFFFF" w:themeColor="background1"/>
                <w:sz w:val="10"/>
                <w:szCs w:val="10"/>
                <w:vertAlign w:val="subscript"/>
              </w:rPr>
              <w:t>5</w:t>
            </w:r>
            <w:r w:rsidR="003F3EEB">
              <w:rPr>
                <w:b/>
              </w:rPr>
              <w:t xml:space="preserve">para la </w:t>
            </w:r>
            <w:r w:rsidRPr="000401B3">
              <w:rPr>
                <w:color w:val="FFFFFF" w:themeColor="background1"/>
                <w:sz w:val="10"/>
                <w:szCs w:val="10"/>
                <w:vertAlign w:val="subscript"/>
              </w:rPr>
              <w:t>5</w:t>
            </w:r>
            <w:r w:rsidR="003F3EEB">
              <w:rPr>
                <w:b/>
              </w:rPr>
              <w:t>Respuesta</w:t>
            </w:r>
          </w:p>
        </w:tc>
      </w:tr>
      <w:tr w:rsidR="00657D48" w14:paraId="0E1563AE" w14:textId="77777777">
        <w:tc>
          <w:tcPr>
            <w:tcW w:w="6711" w:type="dxa"/>
          </w:tcPr>
          <w:p w14:paraId="01440B50" w14:textId="72D759C1" w:rsidR="00657D48" w:rsidRDefault="00DD586D">
            <w:pPr>
              <w:spacing w:after="200"/>
              <w:jc w:val="center"/>
            </w:pPr>
            <w:r w:rsidRPr="000401B3">
              <w:rPr>
                <w:color w:val="FFFFFF" w:themeColor="background1"/>
                <w:sz w:val="10"/>
                <w:szCs w:val="10"/>
                <w:vertAlign w:val="subscript"/>
              </w:rPr>
              <w:t>5</w:t>
            </w:r>
            <w:r w:rsidR="003F3EEB">
              <w:rPr>
                <w:b/>
              </w:rPr>
              <w:t>Actividades</w:t>
            </w:r>
          </w:p>
        </w:tc>
        <w:tc>
          <w:tcPr>
            <w:tcW w:w="1216" w:type="dxa"/>
          </w:tcPr>
          <w:p w14:paraId="2A72B84E" w14:textId="77777777" w:rsidR="00657D48" w:rsidRDefault="003F3EEB">
            <w:pPr>
              <w:spacing w:after="200"/>
            </w:pPr>
            <w:r>
              <w:rPr>
                <w:b/>
              </w:rPr>
              <w:t>Prioridad</w:t>
            </w:r>
          </w:p>
        </w:tc>
      </w:tr>
      <w:tr w:rsidR="00657D48" w14:paraId="399110CA" w14:textId="77777777">
        <w:tc>
          <w:tcPr>
            <w:tcW w:w="6711" w:type="dxa"/>
          </w:tcPr>
          <w:p w14:paraId="659DB2EF" w14:textId="481D2201" w:rsidR="00657D48" w:rsidRDefault="00DD586D">
            <w:pPr>
              <w:spacing w:after="200"/>
            </w:pPr>
            <w:r w:rsidRPr="000401B3">
              <w:rPr>
                <w:color w:val="FFFFFF" w:themeColor="background1"/>
                <w:sz w:val="10"/>
                <w:szCs w:val="10"/>
                <w:vertAlign w:val="subscript"/>
              </w:rPr>
              <w:t>5</w:t>
            </w:r>
            <w:r w:rsidR="003F3EEB">
              <w:t xml:space="preserve">Desarrollo de </w:t>
            </w:r>
            <w:r w:rsidRPr="000401B3">
              <w:rPr>
                <w:color w:val="FFFFFF" w:themeColor="background1"/>
                <w:sz w:val="10"/>
                <w:szCs w:val="10"/>
                <w:vertAlign w:val="subscript"/>
              </w:rPr>
              <w:t>5</w:t>
            </w:r>
            <w:r w:rsidR="003F3EEB">
              <w:t xml:space="preserve">talleres y </w:t>
            </w:r>
            <w:r w:rsidRPr="000401B3">
              <w:rPr>
                <w:color w:val="FFFFFF" w:themeColor="background1"/>
                <w:sz w:val="10"/>
                <w:szCs w:val="10"/>
                <w:vertAlign w:val="subscript"/>
              </w:rPr>
              <w:t>5</w:t>
            </w:r>
            <w:r w:rsidR="003F3EEB">
              <w:t xml:space="preserve">cursos de </w:t>
            </w:r>
            <w:r w:rsidRPr="000401B3">
              <w:rPr>
                <w:color w:val="FFFFFF" w:themeColor="background1"/>
                <w:sz w:val="10"/>
                <w:szCs w:val="10"/>
                <w:vertAlign w:val="subscript"/>
              </w:rPr>
              <w:t>5</w:t>
            </w:r>
            <w:r w:rsidR="003F3EEB">
              <w:t xml:space="preserve">capacitación </w:t>
            </w:r>
            <w:r w:rsidRPr="000401B3">
              <w:rPr>
                <w:color w:val="FFFFFF" w:themeColor="background1"/>
                <w:sz w:val="10"/>
                <w:szCs w:val="10"/>
                <w:vertAlign w:val="subscript"/>
              </w:rPr>
              <w:t>5</w:t>
            </w:r>
            <w:r w:rsidR="003F3EEB">
              <w:t xml:space="preserve">al </w:t>
            </w:r>
            <w:r w:rsidRPr="000401B3">
              <w:rPr>
                <w:color w:val="FFFFFF" w:themeColor="background1"/>
                <w:sz w:val="10"/>
                <w:szCs w:val="10"/>
                <w:vertAlign w:val="subscript"/>
              </w:rPr>
              <w:t>5</w:t>
            </w:r>
            <w:r w:rsidR="003F3EEB">
              <w:t xml:space="preserve">GT-GRD </w:t>
            </w:r>
            <w:r w:rsidRPr="000401B3">
              <w:rPr>
                <w:color w:val="FFFFFF" w:themeColor="background1"/>
                <w:sz w:val="10"/>
                <w:szCs w:val="10"/>
                <w:vertAlign w:val="subscript"/>
              </w:rPr>
              <w:t>5</w:t>
            </w:r>
            <w:r w:rsidR="003F3EEB">
              <w:t xml:space="preserve">por </w:t>
            </w:r>
            <w:r w:rsidRPr="000401B3">
              <w:rPr>
                <w:color w:val="FFFFFF" w:themeColor="background1"/>
                <w:sz w:val="10"/>
                <w:szCs w:val="10"/>
                <w:vertAlign w:val="subscript"/>
              </w:rPr>
              <w:t>5</w:t>
            </w:r>
            <w:r w:rsidR="003F3EEB">
              <w:t xml:space="preserve">parte los organismos </w:t>
            </w:r>
            <w:r w:rsidRPr="000401B3">
              <w:rPr>
                <w:color w:val="FFFFFF" w:themeColor="background1"/>
                <w:sz w:val="10"/>
                <w:szCs w:val="10"/>
                <w:vertAlign w:val="subscript"/>
              </w:rPr>
              <w:t>5</w:t>
            </w:r>
            <w:r w:rsidR="003F3EEB">
              <w:t xml:space="preserve">técnicos. </w:t>
            </w:r>
          </w:p>
        </w:tc>
        <w:tc>
          <w:tcPr>
            <w:tcW w:w="1216" w:type="dxa"/>
          </w:tcPr>
          <w:p w14:paraId="6DE65D2A" w14:textId="77777777" w:rsidR="00657D48" w:rsidRDefault="003F3EEB">
            <w:pPr>
              <w:spacing w:after="200"/>
              <w:jc w:val="center"/>
            </w:pPr>
            <w:r>
              <w:t>1</w:t>
            </w:r>
          </w:p>
        </w:tc>
      </w:tr>
      <w:tr w:rsidR="00657D48" w14:paraId="6E324BC0" w14:textId="77777777">
        <w:tc>
          <w:tcPr>
            <w:tcW w:w="6711" w:type="dxa"/>
          </w:tcPr>
          <w:p w14:paraId="0D3DEB07" w14:textId="2338DB6B" w:rsidR="00657D48" w:rsidRDefault="003F3EEB">
            <w:pPr>
              <w:spacing w:after="200"/>
            </w:pPr>
            <w:r>
              <w:t>Elaboración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Reglamento </w:t>
            </w:r>
            <w:r w:rsidR="00DD586D" w:rsidRPr="000401B3">
              <w:rPr>
                <w:color w:val="FFFFFF" w:themeColor="background1"/>
                <w:sz w:val="10"/>
                <w:szCs w:val="10"/>
                <w:vertAlign w:val="subscript"/>
              </w:rPr>
              <w:t>5</w:t>
            </w:r>
            <w:r>
              <w:t xml:space="preserve">Interno de </w:t>
            </w:r>
            <w:r w:rsidR="00DD586D" w:rsidRPr="000401B3">
              <w:rPr>
                <w:color w:val="FFFFFF" w:themeColor="background1"/>
                <w:sz w:val="10"/>
                <w:szCs w:val="10"/>
                <w:vertAlign w:val="subscript"/>
              </w:rPr>
              <w:t>5</w:t>
            </w:r>
            <w:r>
              <w:t xml:space="preserve">Funcionamiento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GT-GRD</w:t>
            </w:r>
          </w:p>
        </w:tc>
        <w:tc>
          <w:tcPr>
            <w:tcW w:w="1216" w:type="dxa"/>
          </w:tcPr>
          <w:p w14:paraId="1B6E36A0" w14:textId="77777777" w:rsidR="00657D48" w:rsidRDefault="003F3EEB">
            <w:pPr>
              <w:spacing w:after="200"/>
              <w:jc w:val="center"/>
            </w:pPr>
            <w:r>
              <w:t>1</w:t>
            </w:r>
          </w:p>
        </w:tc>
      </w:tr>
      <w:tr w:rsidR="00657D48" w14:paraId="56BFA603" w14:textId="77777777">
        <w:tc>
          <w:tcPr>
            <w:tcW w:w="6711" w:type="dxa"/>
          </w:tcPr>
          <w:p w14:paraId="1A90E45C" w14:textId="0E0BB709" w:rsidR="00657D48" w:rsidRDefault="003F3EEB">
            <w:pPr>
              <w:spacing w:after="200"/>
            </w:pPr>
            <w:r>
              <w:t>Elaboración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Trabajo de </w:t>
            </w:r>
            <w:r w:rsidR="00DD586D" w:rsidRPr="000401B3">
              <w:rPr>
                <w:color w:val="FFFFFF" w:themeColor="background1"/>
                <w:sz w:val="10"/>
                <w:szCs w:val="10"/>
                <w:vertAlign w:val="subscript"/>
              </w:rPr>
              <w:t>5</w:t>
            </w:r>
            <w:r>
              <w:t>GT-GRD.</w:t>
            </w:r>
          </w:p>
        </w:tc>
        <w:tc>
          <w:tcPr>
            <w:tcW w:w="1216" w:type="dxa"/>
          </w:tcPr>
          <w:p w14:paraId="43956E92" w14:textId="77777777" w:rsidR="00657D48" w:rsidRDefault="003F3EEB">
            <w:pPr>
              <w:spacing w:after="200"/>
              <w:jc w:val="center"/>
            </w:pPr>
            <w:r>
              <w:t>1</w:t>
            </w:r>
          </w:p>
        </w:tc>
      </w:tr>
      <w:tr w:rsidR="00657D48" w14:paraId="41550A98" w14:textId="77777777">
        <w:tc>
          <w:tcPr>
            <w:tcW w:w="6711" w:type="dxa"/>
          </w:tcPr>
          <w:p w14:paraId="1150AC2A" w14:textId="3A316961" w:rsidR="00657D48" w:rsidRDefault="003F3EEB">
            <w:pPr>
              <w:spacing w:after="200"/>
            </w:pPr>
            <w:r>
              <w:t>Implementación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módulo de </w:t>
            </w:r>
            <w:r w:rsidR="00DD586D" w:rsidRPr="000401B3">
              <w:rPr>
                <w:color w:val="FFFFFF" w:themeColor="background1"/>
                <w:sz w:val="10"/>
                <w:szCs w:val="10"/>
                <w:vertAlign w:val="subscript"/>
              </w:rPr>
              <w:t>5</w:t>
            </w:r>
            <w:r>
              <w:t>Prensa.</w:t>
            </w:r>
          </w:p>
        </w:tc>
        <w:tc>
          <w:tcPr>
            <w:tcW w:w="1216" w:type="dxa"/>
          </w:tcPr>
          <w:p w14:paraId="5EE99063" w14:textId="77777777" w:rsidR="00657D48" w:rsidRDefault="003F3EEB">
            <w:pPr>
              <w:spacing w:after="200"/>
              <w:jc w:val="center"/>
            </w:pPr>
            <w:r>
              <w:t>2</w:t>
            </w:r>
          </w:p>
        </w:tc>
      </w:tr>
      <w:tr w:rsidR="00657D48" w14:paraId="5E6647E5" w14:textId="77777777">
        <w:tc>
          <w:tcPr>
            <w:tcW w:w="6711" w:type="dxa"/>
          </w:tcPr>
          <w:p w14:paraId="768440E2" w14:textId="7E19BD83" w:rsidR="00657D48" w:rsidRDefault="003F3EEB">
            <w:pPr>
              <w:spacing w:after="200"/>
            </w:pPr>
            <w:r>
              <w:t>Estandarización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capacitación </w:t>
            </w:r>
            <w:r w:rsidR="00DD586D" w:rsidRPr="000401B3">
              <w:rPr>
                <w:color w:val="FFFFFF" w:themeColor="background1"/>
                <w:sz w:val="10"/>
                <w:szCs w:val="10"/>
                <w:vertAlign w:val="subscript"/>
              </w:rPr>
              <w:t>5</w:t>
            </w:r>
            <w:r>
              <w:t>en GRD.</w:t>
            </w:r>
          </w:p>
        </w:tc>
        <w:tc>
          <w:tcPr>
            <w:tcW w:w="1216" w:type="dxa"/>
          </w:tcPr>
          <w:p w14:paraId="4ABA0BDF" w14:textId="77777777" w:rsidR="00657D48" w:rsidRDefault="003F3EEB">
            <w:pPr>
              <w:spacing w:after="200"/>
              <w:jc w:val="center"/>
            </w:pPr>
            <w:r>
              <w:t>1</w:t>
            </w:r>
          </w:p>
        </w:tc>
      </w:tr>
      <w:tr w:rsidR="00657D48" w14:paraId="69F5C9CE" w14:textId="77777777">
        <w:tc>
          <w:tcPr>
            <w:tcW w:w="6711" w:type="dxa"/>
          </w:tcPr>
          <w:p w14:paraId="14E10CE3" w14:textId="21725B58" w:rsidR="00657D48" w:rsidRDefault="003F3EEB">
            <w:pPr>
              <w:spacing w:after="200"/>
            </w:pPr>
            <w:r>
              <w:t>Estandarización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capacitación en el </w:t>
            </w:r>
            <w:r w:rsidR="00DD586D" w:rsidRPr="000401B3">
              <w:rPr>
                <w:color w:val="FFFFFF" w:themeColor="background1"/>
                <w:sz w:val="10"/>
                <w:szCs w:val="10"/>
                <w:vertAlign w:val="subscript"/>
              </w:rPr>
              <w:t>5</w:t>
            </w:r>
            <w:r>
              <w:t xml:space="preserve">manejo y </w:t>
            </w:r>
            <w:r w:rsidR="00DD586D" w:rsidRPr="000401B3">
              <w:rPr>
                <w:color w:val="FFFFFF" w:themeColor="background1"/>
                <w:sz w:val="10"/>
                <w:szCs w:val="10"/>
                <w:vertAlign w:val="subscript"/>
              </w:rPr>
              <w:t>5</w:t>
            </w:r>
            <w:r>
              <w:t xml:space="preserve">empleo de las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nivel liviano.</w:t>
            </w:r>
          </w:p>
        </w:tc>
        <w:tc>
          <w:tcPr>
            <w:tcW w:w="1216" w:type="dxa"/>
          </w:tcPr>
          <w:p w14:paraId="18B81B23" w14:textId="77777777" w:rsidR="00657D48" w:rsidRDefault="003F3EEB">
            <w:pPr>
              <w:spacing w:after="200"/>
              <w:jc w:val="center"/>
            </w:pPr>
            <w:r>
              <w:t>1</w:t>
            </w:r>
          </w:p>
        </w:tc>
      </w:tr>
      <w:tr w:rsidR="00657D48" w14:paraId="699350E0" w14:textId="77777777">
        <w:tc>
          <w:tcPr>
            <w:tcW w:w="6711" w:type="dxa"/>
          </w:tcPr>
          <w:p w14:paraId="154BD79A" w14:textId="4A387FEE" w:rsidR="00657D48" w:rsidRDefault="003F3EEB">
            <w:pPr>
              <w:spacing w:after="200"/>
            </w:pPr>
            <w:r>
              <w:lastRenderedPageBreak/>
              <w:t>Estandarización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capacitación </w:t>
            </w:r>
            <w:r w:rsidR="00DD586D" w:rsidRPr="000401B3">
              <w:rPr>
                <w:color w:val="FFFFFF" w:themeColor="background1"/>
                <w:sz w:val="10"/>
                <w:szCs w:val="10"/>
                <w:vertAlign w:val="subscript"/>
              </w:rPr>
              <w:t>5</w:t>
            </w:r>
            <w:r>
              <w:t xml:space="preserve">en el </w:t>
            </w:r>
            <w:r w:rsidR="00DD586D" w:rsidRPr="000401B3">
              <w:rPr>
                <w:color w:val="FFFFFF" w:themeColor="background1"/>
                <w:sz w:val="10"/>
                <w:szCs w:val="10"/>
                <w:vertAlign w:val="subscript"/>
              </w:rPr>
              <w:t>5</w:t>
            </w:r>
            <w:r>
              <w:t xml:space="preserve">manejo y </w:t>
            </w:r>
            <w:r w:rsidR="00DD586D" w:rsidRPr="000401B3">
              <w:rPr>
                <w:color w:val="FFFFFF" w:themeColor="background1"/>
                <w:sz w:val="10"/>
                <w:szCs w:val="10"/>
                <w:vertAlign w:val="subscript"/>
              </w:rPr>
              <w:t>5</w:t>
            </w:r>
            <w:r>
              <w:t xml:space="preserve">empleo de las </w:t>
            </w:r>
            <w:r w:rsidR="00DD586D" w:rsidRPr="000401B3">
              <w:rPr>
                <w:color w:val="FFFFFF" w:themeColor="background1"/>
                <w:sz w:val="10"/>
                <w:szCs w:val="10"/>
                <w:vertAlign w:val="subscript"/>
              </w:rPr>
              <w:t>5</w:t>
            </w:r>
            <w:r>
              <w:t>CIRD nivel mediano</w:t>
            </w:r>
          </w:p>
        </w:tc>
        <w:tc>
          <w:tcPr>
            <w:tcW w:w="1216" w:type="dxa"/>
          </w:tcPr>
          <w:p w14:paraId="199AFAC7" w14:textId="77777777" w:rsidR="00657D48" w:rsidRDefault="003F3EEB">
            <w:pPr>
              <w:spacing w:after="200"/>
              <w:jc w:val="center"/>
            </w:pPr>
            <w:r>
              <w:t>2</w:t>
            </w:r>
          </w:p>
        </w:tc>
      </w:tr>
      <w:tr w:rsidR="00657D48" w14:paraId="669207CB" w14:textId="77777777">
        <w:tc>
          <w:tcPr>
            <w:tcW w:w="6711" w:type="dxa"/>
          </w:tcPr>
          <w:p w14:paraId="53927E23" w14:textId="5578DAC6" w:rsidR="00657D48" w:rsidRDefault="003F3EEB">
            <w:pPr>
              <w:spacing w:after="200"/>
            </w:pPr>
            <w:r>
              <w:t>Estandarización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capacitación </w:t>
            </w:r>
            <w:r w:rsidR="00DD586D" w:rsidRPr="000401B3">
              <w:rPr>
                <w:color w:val="FFFFFF" w:themeColor="background1"/>
                <w:sz w:val="10"/>
                <w:szCs w:val="10"/>
                <w:vertAlign w:val="subscript"/>
              </w:rPr>
              <w:t>5</w:t>
            </w:r>
            <w:r>
              <w:t xml:space="preserve">en el </w:t>
            </w:r>
            <w:r w:rsidR="00DD586D" w:rsidRPr="000401B3">
              <w:rPr>
                <w:color w:val="FFFFFF" w:themeColor="background1"/>
                <w:sz w:val="10"/>
                <w:szCs w:val="10"/>
                <w:vertAlign w:val="subscript"/>
              </w:rPr>
              <w:t>5</w:t>
            </w:r>
            <w:r>
              <w:t xml:space="preserve">manejo y </w:t>
            </w:r>
            <w:r w:rsidR="00DD586D" w:rsidRPr="000401B3">
              <w:rPr>
                <w:color w:val="FFFFFF" w:themeColor="background1"/>
                <w:sz w:val="10"/>
                <w:szCs w:val="10"/>
                <w:vertAlign w:val="subscript"/>
              </w:rPr>
              <w:t>5</w:t>
            </w:r>
            <w:r>
              <w:t xml:space="preserve">empleo de las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 xml:space="preserve">para incendios </w:t>
            </w:r>
            <w:r w:rsidR="00DD586D" w:rsidRPr="000401B3">
              <w:rPr>
                <w:color w:val="FFFFFF" w:themeColor="background1"/>
                <w:sz w:val="10"/>
                <w:szCs w:val="10"/>
                <w:vertAlign w:val="subscript"/>
              </w:rPr>
              <w:t>5</w:t>
            </w:r>
            <w:r>
              <w:t>forestales.</w:t>
            </w:r>
          </w:p>
        </w:tc>
        <w:tc>
          <w:tcPr>
            <w:tcW w:w="1216" w:type="dxa"/>
          </w:tcPr>
          <w:p w14:paraId="35FDD99C" w14:textId="77777777" w:rsidR="00657D48" w:rsidRDefault="003F3EEB">
            <w:pPr>
              <w:spacing w:after="200"/>
              <w:jc w:val="center"/>
            </w:pPr>
            <w:r>
              <w:t>2</w:t>
            </w:r>
          </w:p>
        </w:tc>
      </w:tr>
      <w:tr w:rsidR="00657D48" w14:paraId="0C6A9C47" w14:textId="77777777">
        <w:tc>
          <w:tcPr>
            <w:tcW w:w="6711" w:type="dxa"/>
          </w:tcPr>
          <w:p w14:paraId="0B41D396" w14:textId="413B22F2" w:rsidR="00657D48" w:rsidRDefault="003F3EEB">
            <w:pPr>
              <w:spacing w:after="200"/>
            </w:pPr>
            <w:r>
              <w:t>Capacitación</w:t>
            </w:r>
            <w:r w:rsidR="00DD586D" w:rsidRPr="000401B3">
              <w:rPr>
                <w:color w:val="FFFFFF" w:themeColor="background1"/>
                <w:sz w:val="10"/>
                <w:szCs w:val="10"/>
                <w:vertAlign w:val="subscript"/>
              </w:rPr>
              <w:t>5</w:t>
            </w:r>
            <w:r>
              <w:t xml:space="preserve"> estandarizada</w:t>
            </w:r>
            <w:r w:rsidR="00DD586D" w:rsidRPr="000401B3">
              <w:rPr>
                <w:color w:val="FFFFFF" w:themeColor="background1"/>
                <w:sz w:val="10"/>
                <w:szCs w:val="10"/>
                <w:vertAlign w:val="subscript"/>
              </w:rPr>
              <w:t>5</w:t>
            </w:r>
            <w:r>
              <w:t xml:space="preserve"> en la </w:t>
            </w:r>
            <w:r w:rsidR="00DD586D" w:rsidRPr="000401B3">
              <w:rPr>
                <w:color w:val="FFFFFF" w:themeColor="background1"/>
                <w:sz w:val="10"/>
                <w:szCs w:val="10"/>
                <w:vertAlign w:val="subscript"/>
              </w:rPr>
              <w:t>5</w:t>
            </w:r>
            <w:r>
              <w:t xml:space="preserve">Gestión de </w:t>
            </w:r>
            <w:r w:rsidR="00DD586D" w:rsidRPr="000401B3">
              <w:rPr>
                <w:color w:val="FFFFFF" w:themeColor="background1"/>
                <w:sz w:val="10"/>
                <w:szCs w:val="10"/>
                <w:vertAlign w:val="subscript"/>
              </w:rPr>
              <w:t>5</w:t>
            </w:r>
            <w:r>
              <w:t>Cadáveres.</w:t>
            </w:r>
          </w:p>
        </w:tc>
        <w:tc>
          <w:tcPr>
            <w:tcW w:w="1216" w:type="dxa"/>
          </w:tcPr>
          <w:p w14:paraId="775ED6FD" w14:textId="77777777" w:rsidR="00657D48" w:rsidRDefault="003F3EEB">
            <w:pPr>
              <w:spacing w:after="200"/>
              <w:jc w:val="center"/>
            </w:pPr>
            <w:r>
              <w:t>2</w:t>
            </w:r>
          </w:p>
        </w:tc>
      </w:tr>
      <w:tr w:rsidR="00657D48" w14:paraId="38AD1605" w14:textId="77777777">
        <w:tc>
          <w:tcPr>
            <w:tcW w:w="6711" w:type="dxa"/>
          </w:tcPr>
          <w:p w14:paraId="70FA06B6" w14:textId="4CE20D69" w:rsidR="00657D48" w:rsidRDefault="003F3EEB">
            <w:pPr>
              <w:spacing w:after="200"/>
            </w:pPr>
            <w:r>
              <w:t>Capacitación</w:t>
            </w:r>
            <w:r w:rsidR="00DD586D" w:rsidRPr="000401B3">
              <w:rPr>
                <w:color w:val="FFFFFF" w:themeColor="background1"/>
                <w:sz w:val="10"/>
                <w:szCs w:val="10"/>
                <w:vertAlign w:val="subscript"/>
              </w:rPr>
              <w:t>5</w:t>
            </w:r>
            <w:r>
              <w:t xml:space="preserve"> </w:t>
            </w:r>
            <w:r w:rsidR="00DD586D" w:rsidRPr="000401B3">
              <w:rPr>
                <w:color w:val="FFFFFF" w:themeColor="background1"/>
                <w:sz w:val="10"/>
                <w:szCs w:val="10"/>
                <w:vertAlign w:val="subscript"/>
              </w:rPr>
              <w:t>5</w:t>
            </w:r>
            <w:r>
              <w:t xml:space="preserve">estandarizada en el </w:t>
            </w:r>
            <w:r w:rsidR="00DD586D" w:rsidRPr="000401B3">
              <w:rPr>
                <w:color w:val="FFFFFF" w:themeColor="background1"/>
                <w:sz w:val="10"/>
                <w:szCs w:val="10"/>
                <w:vertAlign w:val="subscript"/>
              </w:rPr>
              <w:t>5</w:t>
            </w:r>
            <w:r>
              <w:t xml:space="preserve">manejo del </w:t>
            </w:r>
            <w:r w:rsidR="00DD586D" w:rsidRPr="000401B3">
              <w:rPr>
                <w:color w:val="FFFFFF" w:themeColor="background1"/>
                <w:sz w:val="10"/>
                <w:szCs w:val="10"/>
                <w:vertAlign w:val="subscript"/>
              </w:rPr>
              <w:t>5</w:t>
            </w:r>
            <w:r>
              <w:t>EDAN.</w:t>
            </w:r>
          </w:p>
        </w:tc>
        <w:tc>
          <w:tcPr>
            <w:tcW w:w="1216" w:type="dxa"/>
          </w:tcPr>
          <w:p w14:paraId="42E079CA" w14:textId="77777777" w:rsidR="00657D48" w:rsidRDefault="003F3EEB">
            <w:pPr>
              <w:spacing w:after="200"/>
              <w:jc w:val="center"/>
            </w:pPr>
            <w:r>
              <w:t>1</w:t>
            </w:r>
          </w:p>
        </w:tc>
      </w:tr>
      <w:tr w:rsidR="00657D48" w14:paraId="4F7DAD94" w14:textId="77777777">
        <w:tc>
          <w:tcPr>
            <w:tcW w:w="6711" w:type="dxa"/>
          </w:tcPr>
          <w:p w14:paraId="63329D46" w14:textId="42B8E901" w:rsidR="00657D48" w:rsidRDefault="003F3EEB">
            <w:pPr>
              <w:spacing w:after="200"/>
            </w:pPr>
            <w:r>
              <w:t>Estandarización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capacitación </w:t>
            </w:r>
            <w:r w:rsidR="00DD586D" w:rsidRPr="000401B3">
              <w:rPr>
                <w:color w:val="FFFFFF" w:themeColor="background1"/>
                <w:sz w:val="10"/>
                <w:szCs w:val="10"/>
                <w:vertAlign w:val="subscript"/>
              </w:rPr>
              <w:t>5</w:t>
            </w:r>
            <w:r>
              <w:t xml:space="preserve">en el </w:t>
            </w:r>
            <w:r w:rsidR="00DD586D" w:rsidRPr="000401B3">
              <w:rPr>
                <w:color w:val="FFFFFF" w:themeColor="background1"/>
                <w:sz w:val="10"/>
                <w:szCs w:val="10"/>
                <w:vertAlign w:val="subscript"/>
              </w:rPr>
              <w:t>5</w:t>
            </w:r>
            <w:r>
              <w:t xml:space="preserve">manejo de </w:t>
            </w:r>
            <w:r w:rsidR="00DD586D" w:rsidRPr="000401B3">
              <w:rPr>
                <w:color w:val="FFFFFF" w:themeColor="background1"/>
                <w:sz w:val="10"/>
                <w:szCs w:val="10"/>
                <w:vertAlign w:val="subscript"/>
              </w:rPr>
              <w:t>5</w:t>
            </w:r>
            <w:r>
              <w:t xml:space="preserve">peligros </w:t>
            </w:r>
            <w:r w:rsidR="00DD586D" w:rsidRPr="000401B3">
              <w:rPr>
                <w:color w:val="FFFFFF" w:themeColor="background1"/>
                <w:sz w:val="10"/>
                <w:szCs w:val="10"/>
                <w:vertAlign w:val="subscript"/>
              </w:rPr>
              <w:t>5</w:t>
            </w:r>
            <w:r>
              <w:t>biológicos, químicos</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físicos. </w:t>
            </w:r>
          </w:p>
        </w:tc>
        <w:tc>
          <w:tcPr>
            <w:tcW w:w="1216" w:type="dxa"/>
          </w:tcPr>
          <w:p w14:paraId="27C87001" w14:textId="77777777" w:rsidR="00657D48" w:rsidRDefault="003F3EEB">
            <w:pPr>
              <w:spacing w:after="200"/>
              <w:jc w:val="center"/>
            </w:pPr>
            <w:r>
              <w:t>2</w:t>
            </w:r>
          </w:p>
        </w:tc>
      </w:tr>
      <w:tr w:rsidR="00657D48" w14:paraId="4CB75585" w14:textId="77777777">
        <w:tc>
          <w:tcPr>
            <w:tcW w:w="6711" w:type="dxa"/>
          </w:tcPr>
          <w:p w14:paraId="2378F117" w14:textId="5733E7FF" w:rsidR="00657D48" w:rsidRDefault="003F3EEB">
            <w:pPr>
              <w:spacing w:after="200"/>
            </w:pPr>
            <w:r>
              <w:t>Capacitación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entrenamiento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EP en el </w:t>
            </w:r>
            <w:r w:rsidR="00DD586D" w:rsidRPr="000401B3">
              <w:rPr>
                <w:color w:val="FFFFFF" w:themeColor="background1"/>
                <w:sz w:val="10"/>
                <w:szCs w:val="10"/>
                <w:vertAlign w:val="subscript"/>
              </w:rPr>
              <w:t>5</w:t>
            </w:r>
            <w:r>
              <w:t xml:space="preserve">manejo de </w:t>
            </w:r>
            <w:r w:rsidR="00DD586D" w:rsidRPr="000401B3">
              <w:rPr>
                <w:color w:val="FFFFFF" w:themeColor="background1"/>
                <w:sz w:val="10"/>
                <w:szCs w:val="10"/>
                <w:vertAlign w:val="subscript"/>
              </w:rPr>
              <w:t>5</w:t>
            </w:r>
            <w:r>
              <w:t xml:space="preserve">peligros </w:t>
            </w:r>
            <w:r w:rsidR="00DD586D" w:rsidRPr="000401B3">
              <w:rPr>
                <w:color w:val="FFFFFF" w:themeColor="background1"/>
                <w:sz w:val="10"/>
                <w:szCs w:val="10"/>
                <w:vertAlign w:val="subscript"/>
              </w:rPr>
              <w:t>5</w:t>
            </w:r>
            <w:r>
              <w:t>biológicos, químicos</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físicos.</w:t>
            </w:r>
          </w:p>
        </w:tc>
        <w:tc>
          <w:tcPr>
            <w:tcW w:w="1216" w:type="dxa"/>
          </w:tcPr>
          <w:p w14:paraId="71C5CF87" w14:textId="77777777" w:rsidR="00657D48" w:rsidRDefault="003F3EEB">
            <w:pPr>
              <w:spacing w:after="200"/>
              <w:jc w:val="center"/>
            </w:pPr>
            <w:r>
              <w:t>3</w:t>
            </w:r>
          </w:p>
        </w:tc>
      </w:tr>
      <w:tr w:rsidR="00657D48" w14:paraId="23B7A1CF" w14:textId="77777777">
        <w:tc>
          <w:tcPr>
            <w:tcW w:w="6711" w:type="dxa"/>
          </w:tcPr>
          <w:p w14:paraId="3058A350" w14:textId="0CEDB205" w:rsidR="00657D48" w:rsidRDefault="003F3EEB">
            <w:pPr>
              <w:spacing w:after="200"/>
            </w:pPr>
            <w:r>
              <w:t>Desarrollo</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cursos de </w:t>
            </w:r>
            <w:r w:rsidR="00DD586D" w:rsidRPr="000401B3">
              <w:rPr>
                <w:color w:val="FFFFFF" w:themeColor="background1"/>
                <w:sz w:val="10"/>
                <w:szCs w:val="10"/>
                <w:vertAlign w:val="subscript"/>
              </w:rPr>
              <w:t>5</w:t>
            </w:r>
            <w:r>
              <w:t xml:space="preserve">emergencias </w:t>
            </w:r>
            <w:r w:rsidR="00DD586D" w:rsidRPr="000401B3">
              <w:rPr>
                <w:color w:val="FFFFFF" w:themeColor="background1"/>
                <w:sz w:val="10"/>
                <w:szCs w:val="10"/>
                <w:vertAlign w:val="subscript"/>
              </w:rPr>
              <w:t>5</w:t>
            </w:r>
            <w:r>
              <w:t xml:space="preserve">específicos </w:t>
            </w:r>
            <w:r w:rsidR="00DD586D" w:rsidRPr="000401B3">
              <w:rPr>
                <w:color w:val="FFFFFF" w:themeColor="background1"/>
                <w:sz w:val="10"/>
                <w:szCs w:val="10"/>
                <w:vertAlign w:val="subscript"/>
              </w:rPr>
              <w:t>5</w:t>
            </w:r>
            <w:r>
              <w:t xml:space="preserve">para los </w:t>
            </w:r>
            <w:r w:rsidR="00DD586D" w:rsidRPr="000401B3">
              <w:rPr>
                <w:color w:val="FFFFFF" w:themeColor="background1"/>
                <w:sz w:val="10"/>
                <w:szCs w:val="10"/>
                <w:vertAlign w:val="subscript"/>
              </w:rPr>
              <w:t>5</w:t>
            </w:r>
            <w:r>
              <w:t xml:space="preserve">CCOO y </w:t>
            </w:r>
            <w:r w:rsidR="00DD586D" w:rsidRPr="000401B3">
              <w:rPr>
                <w:color w:val="FFFFFF" w:themeColor="background1"/>
                <w:sz w:val="10"/>
                <w:szCs w:val="10"/>
                <w:vertAlign w:val="subscript"/>
              </w:rPr>
              <w:t>5</w:t>
            </w:r>
            <w:r>
              <w:t>CCEE a través</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Acuerdo </w:t>
            </w:r>
            <w:r w:rsidR="00DD586D" w:rsidRPr="000401B3">
              <w:rPr>
                <w:color w:val="FFFFFF" w:themeColor="background1"/>
                <w:sz w:val="10"/>
                <w:szCs w:val="10"/>
                <w:vertAlign w:val="subscript"/>
              </w:rPr>
              <w:t>5</w:t>
            </w:r>
            <w:r>
              <w:t xml:space="preserve">Técnico </w:t>
            </w:r>
            <w:r w:rsidR="00DD586D" w:rsidRPr="000401B3">
              <w:rPr>
                <w:color w:val="FFFFFF" w:themeColor="background1"/>
                <w:sz w:val="10"/>
                <w:szCs w:val="10"/>
                <w:vertAlign w:val="subscript"/>
              </w:rPr>
              <w:t>5</w:t>
            </w:r>
            <w:r>
              <w:t>Perú-España.</w:t>
            </w:r>
          </w:p>
        </w:tc>
        <w:tc>
          <w:tcPr>
            <w:tcW w:w="1216" w:type="dxa"/>
          </w:tcPr>
          <w:p w14:paraId="537DFF4A" w14:textId="77777777" w:rsidR="00657D48" w:rsidRDefault="003F3EEB">
            <w:pPr>
              <w:spacing w:after="200"/>
              <w:jc w:val="center"/>
            </w:pPr>
            <w:r>
              <w:t>3</w:t>
            </w:r>
          </w:p>
        </w:tc>
      </w:tr>
      <w:tr w:rsidR="00657D48" w14:paraId="4DB18C55" w14:textId="77777777">
        <w:tc>
          <w:tcPr>
            <w:tcW w:w="6711" w:type="dxa"/>
          </w:tcPr>
          <w:p w14:paraId="56C75991" w14:textId="1C016621" w:rsidR="00657D48" w:rsidRDefault="003F3EEB">
            <w:pPr>
              <w:spacing w:after="200"/>
            </w:pPr>
            <w:r>
              <w:t>Desarrollo</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cursos </w:t>
            </w:r>
            <w:r w:rsidR="00DD586D" w:rsidRPr="000401B3">
              <w:rPr>
                <w:color w:val="FFFFFF" w:themeColor="background1"/>
                <w:sz w:val="10"/>
                <w:szCs w:val="10"/>
                <w:vertAlign w:val="subscript"/>
              </w:rPr>
              <w:t>5</w:t>
            </w:r>
            <w:r>
              <w:t xml:space="preserve">específicos </w:t>
            </w:r>
            <w:r w:rsidR="00DD586D" w:rsidRPr="000401B3">
              <w:rPr>
                <w:color w:val="FFFFFF" w:themeColor="background1"/>
                <w:sz w:val="10"/>
                <w:szCs w:val="10"/>
                <w:vertAlign w:val="subscript"/>
              </w:rPr>
              <w:t>5</w:t>
            </w:r>
            <w:r>
              <w:t xml:space="preserve">para los </w:t>
            </w:r>
            <w:r w:rsidR="00DD586D" w:rsidRPr="000401B3">
              <w:rPr>
                <w:color w:val="FFFFFF" w:themeColor="background1"/>
                <w:sz w:val="10"/>
                <w:szCs w:val="10"/>
                <w:vertAlign w:val="subscript"/>
              </w:rPr>
              <w:t>5</w:t>
            </w:r>
            <w:r>
              <w:t xml:space="preserve">operadores de </w:t>
            </w:r>
            <w:r w:rsidR="00DD586D" w:rsidRPr="000401B3">
              <w:rPr>
                <w:color w:val="FFFFFF" w:themeColor="background1"/>
                <w:sz w:val="10"/>
                <w:szCs w:val="10"/>
                <w:vertAlign w:val="subscript"/>
              </w:rPr>
              <w:t>5</w:t>
            </w:r>
            <w:r>
              <w:t xml:space="preserve">los </w:t>
            </w:r>
            <w:r w:rsidR="00DD586D" w:rsidRPr="000401B3">
              <w:rPr>
                <w:color w:val="FFFFFF" w:themeColor="background1"/>
                <w:sz w:val="10"/>
                <w:szCs w:val="10"/>
                <w:vertAlign w:val="subscript"/>
              </w:rPr>
              <w:t>5</w:t>
            </w:r>
            <w:r>
              <w:t>sistemas de vigilancia</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reconocimiento de la </w:t>
            </w:r>
            <w:r w:rsidR="00DD586D" w:rsidRPr="000401B3">
              <w:rPr>
                <w:color w:val="FFFFFF" w:themeColor="background1"/>
                <w:sz w:val="10"/>
                <w:szCs w:val="10"/>
                <w:vertAlign w:val="subscript"/>
              </w:rPr>
              <w:t>5</w:t>
            </w:r>
            <w:r>
              <w:t xml:space="preserve">Fuerza </w:t>
            </w:r>
            <w:r w:rsidR="00DD586D" w:rsidRPr="000401B3">
              <w:rPr>
                <w:color w:val="FFFFFF" w:themeColor="background1"/>
                <w:sz w:val="10"/>
                <w:szCs w:val="10"/>
                <w:vertAlign w:val="subscript"/>
              </w:rPr>
              <w:t>5</w:t>
            </w:r>
            <w:r>
              <w:t>Aérea.</w:t>
            </w:r>
          </w:p>
        </w:tc>
        <w:tc>
          <w:tcPr>
            <w:tcW w:w="1216" w:type="dxa"/>
          </w:tcPr>
          <w:p w14:paraId="38C3E193" w14:textId="77777777" w:rsidR="00657D48" w:rsidRDefault="003F3EEB">
            <w:pPr>
              <w:spacing w:after="200"/>
              <w:jc w:val="center"/>
            </w:pPr>
            <w:r>
              <w:t>3</w:t>
            </w:r>
          </w:p>
        </w:tc>
      </w:tr>
      <w:tr w:rsidR="00657D48" w14:paraId="5F20E259" w14:textId="77777777">
        <w:tc>
          <w:tcPr>
            <w:tcW w:w="6711" w:type="dxa"/>
          </w:tcPr>
          <w:p w14:paraId="2F61811B" w14:textId="311255D7" w:rsidR="00657D48" w:rsidRDefault="003F3EEB">
            <w:pPr>
              <w:spacing w:after="200"/>
            </w:pPr>
            <w:r>
              <w:t>Participación</w:t>
            </w:r>
            <w:r w:rsidR="00DD586D" w:rsidRPr="000401B3">
              <w:rPr>
                <w:color w:val="FFFFFF" w:themeColor="background1"/>
                <w:sz w:val="10"/>
                <w:szCs w:val="10"/>
                <w:vertAlign w:val="subscript"/>
              </w:rPr>
              <w:t>5</w:t>
            </w:r>
            <w:r>
              <w:t xml:space="preserve"> en </w:t>
            </w:r>
            <w:r w:rsidR="00DD586D" w:rsidRPr="000401B3">
              <w:rPr>
                <w:color w:val="FFFFFF" w:themeColor="background1"/>
                <w:sz w:val="10"/>
                <w:szCs w:val="10"/>
                <w:vertAlign w:val="subscript"/>
              </w:rPr>
              <w:t>5</w:t>
            </w:r>
            <w:r>
              <w:t xml:space="preserve">simulacros y </w:t>
            </w:r>
            <w:r w:rsidR="00DD586D" w:rsidRPr="000401B3">
              <w:rPr>
                <w:color w:val="FFFFFF" w:themeColor="background1"/>
                <w:sz w:val="10"/>
                <w:szCs w:val="10"/>
                <w:vertAlign w:val="subscript"/>
              </w:rPr>
              <w:t>5</w:t>
            </w:r>
            <w:r>
              <w:t xml:space="preserve">simulaciones </w:t>
            </w:r>
            <w:r w:rsidR="00DD586D" w:rsidRPr="000401B3">
              <w:rPr>
                <w:color w:val="FFFFFF" w:themeColor="background1"/>
                <w:sz w:val="10"/>
                <w:szCs w:val="10"/>
                <w:vertAlign w:val="subscript"/>
              </w:rPr>
              <w:t>5</w:t>
            </w:r>
            <w:r>
              <w:t xml:space="preserve">programadas </w:t>
            </w:r>
            <w:r w:rsidR="00DD586D" w:rsidRPr="000401B3">
              <w:rPr>
                <w:color w:val="FFFFFF" w:themeColor="background1"/>
                <w:sz w:val="10"/>
                <w:szCs w:val="10"/>
                <w:vertAlign w:val="subscript"/>
              </w:rPr>
              <w:t>5</w:t>
            </w:r>
            <w:r>
              <w:t xml:space="preserve">por el </w:t>
            </w:r>
            <w:r w:rsidR="00DD586D" w:rsidRPr="000401B3">
              <w:rPr>
                <w:color w:val="FFFFFF" w:themeColor="background1"/>
                <w:sz w:val="10"/>
                <w:szCs w:val="10"/>
                <w:vertAlign w:val="subscript"/>
              </w:rPr>
              <w:t>5</w:t>
            </w:r>
            <w:r>
              <w:t xml:space="preserve">Órgano </w:t>
            </w:r>
            <w:r w:rsidR="00DD586D" w:rsidRPr="000401B3">
              <w:rPr>
                <w:color w:val="FFFFFF" w:themeColor="background1"/>
                <w:sz w:val="10"/>
                <w:szCs w:val="10"/>
                <w:vertAlign w:val="subscript"/>
              </w:rPr>
              <w:t>5</w:t>
            </w:r>
            <w:r>
              <w:t>Rector (PCM)</w:t>
            </w:r>
            <w:r w:rsidR="00DD586D" w:rsidRPr="000401B3">
              <w:rPr>
                <w:color w:val="FFFFFF" w:themeColor="background1"/>
                <w:sz w:val="10"/>
                <w:szCs w:val="10"/>
                <w:vertAlign w:val="subscript"/>
              </w:rPr>
              <w:t xml:space="preserve"> 5</w:t>
            </w:r>
            <w:r>
              <w:t xml:space="preserve"> y por el </w:t>
            </w:r>
            <w:r w:rsidR="00DD586D" w:rsidRPr="000401B3">
              <w:rPr>
                <w:color w:val="FFFFFF" w:themeColor="background1"/>
                <w:sz w:val="10"/>
                <w:szCs w:val="10"/>
                <w:vertAlign w:val="subscript"/>
              </w:rPr>
              <w:t>5</w:t>
            </w:r>
            <w:r>
              <w:t xml:space="preserve">Sector </w:t>
            </w:r>
            <w:r w:rsidR="00DD586D" w:rsidRPr="000401B3">
              <w:rPr>
                <w:color w:val="FFFFFF" w:themeColor="background1"/>
                <w:sz w:val="10"/>
                <w:szCs w:val="10"/>
                <w:vertAlign w:val="subscript"/>
              </w:rPr>
              <w:t>5</w:t>
            </w:r>
            <w:r>
              <w:t xml:space="preserve">Defensa.  </w:t>
            </w:r>
          </w:p>
        </w:tc>
        <w:tc>
          <w:tcPr>
            <w:tcW w:w="1216" w:type="dxa"/>
          </w:tcPr>
          <w:p w14:paraId="4AA2B5AF" w14:textId="77777777" w:rsidR="00657D48" w:rsidRDefault="003F3EEB">
            <w:pPr>
              <w:spacing w:after="200"/>
              <w:jc w:val="center"/>
            </w:pPr>
            <w:r>
              <w:t>1</w:t>
            </w:r>
          </w:p>
        </w:tc>
      </w:tr>
      <w:tr w:rsidR="00657D48" w14:paraId="48947763" w14:textId="77777777">
        <w:tc>
          <w:tcPr>
            <w:tcW w:w="6711" w:type="dxa"/>
          </w:tcPr>
          <w:p w14:paraId="0B986021" w14:textId="2798C56A" w:rsidR="00657D48" w:rsidRDefault="003F3EEB">
            <w:pPr>
              <w:spacing w:after="200"/>
            </w:pPr>
            <w:r>
              <w:t>Fortalecimiento</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la </w:t>
            </w:r>
            <w:r w:rsidR="00DD586D" w:rsidRPr="000401B3">
              <w:rPr>
                <w:color w:val="FFFFFF" w:themeColor="background1"/>
                <w:sz w:val="10"/>
                <w:szCs w:val="10"/>
                <w:vertAlign w:val="subscript"/>
              </w:rPr>
              <w:t>5</w:t>
            </w:r>
            <w:r>
              <w:t xml:space="preserve">participación en </w:t>
            </w:r>
            <w:r w:rsidR="00DD586D" w:rsidRPr="000401B3">
              <w:rPr>
                <w:color w:val="FFFFFF" w:themeColor="background1"/>
                <w:sz w:val="10"/>
                <w:szCs w:val="10"/>
                <w:vertAlign w:val="subscript"/>
              </w:rPr>
              <w:t>5</w:t>
            </w:r>
            <w:r>
              <w:t xml:space="preserve">simulacros </w:t>
            </w:r>
            <w:r w:rsidR="00DD586D" w:rsidRPr="000401B3">
              <w:rPr>
                <w:color w:val="FFFFFF" w:themeColor="background1"/>
                <w:sz w:val="10"/>
                <w:szCs w:val="10"/>
                <w:vertAlign w:val="subscript"/>
              </w:rPr>
              <w:t>5</w:t>
            </w:r>
            <w:r>
              <w:t xml:space="preserve">de los </w:t>
            </w:r>
            <w:r w:rsidR="00DD586D" w:rsidRPr="000401B3">
              <w:rPr>
                <w:color w:val="FFFFFF" w:themeColor="background1"/>
                <w:sz w:val="10"/>
                <w:szCs w:val="10"/>
                <w:vertAlign w:val="subscript"/>
              </w:rPr>
              <w:t>5</w:t>
            </w:r>
            <w:r>
              <w:t xml:space="preserve">empleados </w:t>
            </w:r>
            <w:r w:rsidR="00DD586D" w:rsidRPr="000401B3">
              <w:rPr>
                <w:color w:val="FFFFFF" w:themeColor="background1"/>
                <w:sz w:val="10"/>
                <w:szCs w:val="10"/>
                <w:vertAlign w:val="subscript"/>
              </w:rPr>
              <w:t>5</w:t>
            </w:r>
            <w:r>
              <w:t>civiles y la familia</w:t>
            </w:r>
            <w:r w:rsidR="00DD586D" w:rsidRPr="000401B3">
              <w:rPr>
                <w:color w:val="FFFFFF" w:themeColor="background1"/>
                <w:sz w:val="10"/>
                <w:szCs w:val="10"/>
                <w:vertAlign w:val="subscript"/>
              </w:rPr>
              <w:t>5</w:t>
            </w:r>
            <w:r>
              <w:t xml:space="preserve"> </w:t>
            </w:r>
            <w:r w:rsidR="00DD586D" w:rsidRPr="000401B3">
              <w:rPr>
                <w:color w:val="FFFFFF" w:themeColor="background1"/>
                <w:sz w:val="10"/>
                <w:szCs w:val="10"/>
                <w:vertAlign w:val="subscript"/>
              </w:rPr>
              <w:t>5</w:t>
            </w:r>
            <w:r>
              <w:t xml:space="preserve">militar en el </w:t>
            </w:r>
            <w:r w:rsidR="00DD586D" w:rsidRPr="000401B3">
              <w:rPr>
                <w:color w:val="FFFFFF" w:themeColor="background1"/>
                <w:sz w:val="10"/>
                <w:szCs w:val="10"/>
                <w:vertAlign w:val="subscript"/>
              </w:rPr>
              <w:t>5</w:t>
            </w:r>
            <w:r>
              <w:t xml:space="preserve">desarrollo de los </w:t>
            </w:r>
            <w:r w:rsidR="00DD586D" w:rsidRPr="000401B3">
              <w:rPr>
                <w:color w:val="FFFFFF" w:themeColor="background1"/>
                <w:sz w:val="10"/>
                <w:szCs w:val="10"/>
                <w:vertAlign w:val="subscript"/>
              </w:rPr>
              <w:t>5</w:t>
            </w:r>
            <w:r>
              <w:t xml:space="preserve">simulacros de </w:t>
            </w:r>
            <w:r w:rsidR="00DD586D" w:rsidRPr="000401B3">
              <w:rPr>
                <w:color w:val="FFFFFF" w:themeColor="background1"/>
                <w:sz w:val="10"/>
                <w:szCs w:val="10"/>
                <w:vertAlign w:val="subscript"/>
              </w:rPr>
              <w:t>5</w:t>
            </w:r>
            <w:r>
              <w:t xml:space="preserve">acuerdo a los </w:t>
            </w:r>
            <w:r w:rsidR="00DD586D" w:rsidRPr="000401B3">
              <w:rPr>
                <w:color w:val="FFFFFF" w:themeColor="background1"/>
                <w:sz w:val="10"/>
                <w:szCs w:val="10"/>
                <w:vertAlign w:val="subscript"/>
              </w:rPr>
              <w:t>5</w:t>
            </w:r>
            <w:r>
              <w:t>planes de seguridad</w:t>
            </w:r>
            <w:r w:rsidR="00DD586D" w:rsidRPr="000401B3">
              <w:rPr>
                <w:color w:val="FFFFFF" w:themeColor="background1"/>
                <w:sz w:val="10"/>
                <w:szCs w:val="10"/>
                <w:vertAlign w:val="subscript"/>
              </w:rPr>
              <w:t>5</w:t>
            </w:r>
            <w:r>
              <w:t xml:space="preserve"> y los </w:t>
            </w:r>
            <w:r w:rsidR="00DD586D" w:rsidRPr="000401B3">
              <w:rPr>
                <w:color w:val="FFFFFF" w:themeColor="background1"/>
                <w:sz w:val="10"/>
                <w:szCs w:val="10"/>
                <w:vertAlign w:val="subscript"/>
              </w:rPr>
              <w:t>5</w:t>
            </w:r>
            <w:r>
              <w:t xml:space="preserve">planes </w:t>
            </w:r>
            <w:r w:rsidR="00DD586D" w:rsidRPr="000401B3">
              <w:rPr>
                <w:color w:val="FFFFFF" w:themeColor="background1"/>
                <w:sz w:val="10"/>
                <w:szCs w:val="10"/>
                <w:vertAlign w:val="subscript"/>
              </w:rPr>
              <w:t>5</w:t>
            </w:r>
            <w:r>
              <w:t xml:space="preserve">familiares de </w:t>
            </w:r>
            <w:r w:rsidR="00DD586D" w:rsidRPr="000401B3">
              <w:rPr>
                <w:color w:val="FFFFFF" w:themeColor="background1"/>
                <w:sz w:val="10"/>
                <w:szCs w:val="10"/>
                <w:vertAlign w:val="subscript"/>
              </w:rPr>
              <w:t>5</w:t>
            </w:r>
            <w:r>
              <w:t>emergencia.</w:t>
            </w:r>
          </w:p>
        </w:tc>
        <w:tc>
          <w:tcPr>
            <w:tcW w:w="1216" w:type="dxa"/>
          </w:tcPr>
          <w:p w14:paraId="6FAC85C3" w14:textId="77777777" w:rsidR="00657D48" w:rsidRDefault="003F3EEB">
            <w:pPr>
              <w:spacing w:after="200"/>
              <w:jc w:val="center"/>
            </w:pPr>
            <w:r>
              <w:t>2</w:t>
            </w:r>
          </w:p>
        </w:tc>
      </w:tr>
      <w:tr w:rsidR="00657D48" w14:paraId="3F50571C" w14:textId="77777777">
        <w:tc>
          <w:tcPr>
            <w:tcW w:w="6711" w:type="dxa"/>
          </w:tcPr>
          <w:p w14:paraId="02B4DA06" w14:textId="6FDAEE46" w:rsidR="00657D48" w:rsidRDefault="003F3EEB">
            <w:pPr>
              <w:spacing w:after="200"/>
            </w:pPr>
            <w:r>
              <w:t>Equipamiento</w:t>
            </w:r>
            <w:r w:rsidR="00DD586D" w:rsidRPr="000401B3">
              <w:rPr>
                <w:color w:val="FFFFFF" w:themeColor="background1"/>
                <w:sz w:val="10"/>
                <w:szCs w:val="10"/>
                <w:vertAlign w:val="subscript"/>
              </w:rPr>
              <w:t>5</w:t>
            </w:r>
            <w:r>
              <w:t xml:space="preserve"> de los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 xml:space="preserve">nivel </w:t>
            </w:r>
            <w:r w:rsidR="00DD586D" w:rsidRPr="000401B3">
              <w:rPr>
                <w:color w:val="FFFFFF" w:themeColor="background1"/>
                <w:sz w:val="10"/>
                <w:szCs w:val="10"/>
                <w:vertAlign w:val="subscript"/>
              </w:rPr>
              <w:t>5</w:t>
            </w:r>
            <w:r>
              <w:t xml:space="preserve">liviano </w:t>
            </w:r>
            <w:r w:rsidR="00DD586D" w:rsidRPr="000401B3">
              <w:rPr>
                <w:color w:val="FFFFFF" w:themeColor="background1"/>
                <w:sz w:val="10"/>
                <w:szCs w:val="10"/>
                <w:vertAlign w:val="subscript"/>
              </w:rPr>
              <w:t>5</w:t>
            </w:r>
            <w:r>
              <w:t xml:space="preserve">según la </w:t>
            </w:r>
            <w:r w:rsidR="00DD586D" w:rsidRPr="000401B3">
              <w:rPr>
                <w:color w:val="FFFFFF" w:themeColor="background1"/>
                <w:sz w:val="10"/>
                <w:szCs w:val="10"/>
                <w:vertAlign w:val="subscript"/>
              </w:rPr>
              <w:t>5</w:t>
            </w:r>
            <w:r>
              <w:t>programación.</w:t>
            </w:r>
          </w:p>
        </w:tc>
        <w:tc>
          <w:tcPr>
            <w:tcW w:w="1216" w:type="dxa"/>
          </w:tcPr>
          <w:p w14:paraId="6F1CCF79" w14:textId="77777777" w:rsidR="00657D48" w:rsidRDefault="003F3EEB">
            <w:pPr>
              <w:spacing w:after="200"/>
              <w:jc w:val="center"/>
            </w:pPr>
            <w:r>
              <w:t>1</w:t>
            </w:r>
          </w:p>
        </w:tc>
      </w:tr>
      <w:tr w:rsidR="00657D48" w14:paraId="06430F1C" w14:textId="77777777">
        <w:tc>
          <w:tcPr>
            <w:tcW w:w="6711" w:type="dxa"/>
          </w:tcPr>
          <w:p w14:paraId="082AAB36" w14:textId="674BD643" w:rsidR="00657D48" w:rsidRDefault="003F3EEB">
            <w:pPr>
              <w:spacing w:after="200"/>
            </w:pPr>
            <w:r>
              <w:t>Evaluación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análisis del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complementario de las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nivel liviano</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acuerdo a la </w:t>
            </w:r>
            <w:r w:rsidR="00DD586D" w:rsidRPr="000401B3">
              <w:rPr>
                <w:color w:val="FFFFFF" w:themeColor="background1"/>
                <w:sz w:val="10"/>
                <w:szCs w:val="10"/>
                <w:vertAlign w:val="subscript"/>
              </w:rPr>
              <w:t>5</w:t>
            </w:r>
            <w:r>
              <w:t xml:space="preserve">zona </w:t>
            </w:r>
            <w:r w:rsidR="00DD586D" w:rsidRPr="000401B3">
              <w:rPr>
                <w:color w:val="FFFFFF" w:themeColor="background1"/>
                <w:sz w:val="10"/>
                <w:szCs w:val="10"/>
                <w:vertAlign w:val="subscript"/>
              </w:rPr>
              <w:t>5</w:t>
            </w:r>
            <w:r>
              <w:t xml:space="preserve">geográfica y </w:t>
            </w:r>
            <w:r w:rsidR="00DD586D" w:rsidRPr="000401B3">
              <w:rPr>
                <w:color w:val="FFFFFF" w:themeColor="background1"/>
                <w:sz w:val="10"/>
                <w:szCs w:val="10"/>
                <w:vertAlign w:val="subscript"/>
              </w:rPr>
              <w:t>5</w:t>
            </w:r>
            <w:r>
              <w:t xml:space="preserve">la </w:t>
            </w:r>
            <w:r w:rsidR="00DD586D" w:rsidRPr="000401B3">
              <w:rPr>
                <w:color w:val="FFFFFF" w:themeColor="background1"/>
                <w:sz w:val="10"/>
                <w:szCs w:val="10"/>
                <w:vertAlign w:val="subscript"/>
              </w:rPr>
              <w:t>5</w:t>
            </w:r>
            <w:r>
              <w:t xml:space="preserve">necesidad </w:t>
            </w:r>
            <w:r w:rsidR="00DD586D" w:rsidRPr="000401B3">
              <w:rPr>
                <w:color w:val="FFFFFF" w:themeColor="background1"/>
                <w:sz w:val="10"/>
                <w:szCs w:val="10"/>
                <w:vertAlign w:val="subscript"/>
              </w:rPr>
              <w:t>5</w:t>
            </w:r>
            <w:r>
              <w:t>operacional.</w:t>
            </w:r>
          </w:p>
        </w:tc>
        <w:tc>
          <w:tcPr>
            <w:tcW w:w="1216" w:type="dxa"/>
          </w:tcPr>
          <w:p w14:paraId="67F6E884" w14:textId="77777777" w:rsidR="00657D48" w:rsidRDefault="003F3EEB">
            <w:pPr>
              <w:spacing w:after="200"/>
              <w:jc w:val="center"/>
            </w:pPr>
            <w:r>
              <w:t>2</w:t>
            </w:r>
          </w:p>
        </w:tc>
      </w:tr>
      <w:tr w:rsidR="00657D48" w14:paraId="5CE7698B" w14:textId="77777777">
        <w:tc>
          <w:tcPr>
            <w:tcW w:w="6711" w:type="dxa"/>
          </w:tcPr>
          <w:p w14:paraId="55A76203" w14:textId="1F571D5A" w:rsidR="00657D48" w:rsidRDefault="003F3EEB">
            <w:pPr>
              <w:spacing w:after="200"/>
            </w:pPr>
            <w:r>
              <w:t>Equipamiento</w:t>
            </w:r>
            <w:r w:rsidR="00DD586D" w:rsidRPr="000401B3">
              <w:rPr>
                <w:color w:val="FFFFFF" w:themeColor="background1"/>
                <w:sz w:val="10"/>
                <w:szCs w:val="10"/>
                <w:vertAlign w:val="subscript"/>
              </w:rPr>
              <w:t>5</w:t>
            </w:r>
            <w:r>
              <w:t xml:space="preserve"> complementario</w:t>
            </w:r>
            <w:r w:rsidR="00DD586D" w:rsidRPr="000401B3">
              <w:rPr>
                <w:color w:val="FFFFFF" w:themeColor="background1"/>
                <w:sz w:val="10"/>
                <w:szCs w:val="10"/>
                <w:vertAlign w:val="subscript"/>
              </w:rPr>
              <w:t>5</w:t>
            </w:r>
            <w:r>
              <w:t xml:space="preserve"> de las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 xml:space="preserve">nivel </w:t>
            </w:r>
            <w:r w:rsidR="00DD586D" w:rsidRPr="000401B3">
              <w:rPr>
                <w:color w:val="FFFFFF" w:themeColor="background1"/>
                <w:sz w:val="10"/>
                <w:szCs w:val="10"/>
                <w:vertAlign w:val="subscript"/>
              </w:rPr>
              <w:t>5</w:t>
            </w:r>
            <w:r>
              <w:t xml:space="preserve">liviano de </w:t>
            </w:r>
            <w:r w:rsidR="00DD586D" w:rsidRPr="000401B3">
              <w:rPr>
                <w:color w:val="FFFFFF" w:themeColor="background1"/>
                <w:sz w:val="10"/>
                <w:szCs w:val="10"/>
                <w:vertAlign w:val="subscript"/>
              </w:rPr>
              <w:t>5</w:t>
            </w:r>
            <w:r>
              <w:t xml:space="preserve">acuerdo a la </w:t>
            </w:r>
            <w:r w:rsidR="00DD586D" w:rsidRPr="000401B3">
              <w:rPr>
                <w:color w:val="FFFFFF" w:themeColor="background1"/>
                <w:sz w:val="10"/>
                <w:szCs w:val="10"/>
                <w:vertAlign w:val="subscript"/>
              </w:rPr>
              <w:t>5</w:t>
            </w:r>
            <w:r>
              <w:t>zona geográfica</w:t>
            </w:r>
            <w:r w:rsidR="00DD586D" w:rsidRPr="000401B3">
              <w:rPr>
                <w:color w:val="FFFFFF" w:themeColor="background1"/>
                <w:sz w:val="10"/>
                <w:szCs w:val="10"/>
                <w:vertAlign w:val="subscript"/>
              </w:rPr>
              <w:t>5</w:t>
            </w:r>
            <w:r>
              <w:t xml:space="preserve"> y la </w:t>
            </w:r>
            <w:r w:rsidR="00DD586D" w:rsidRPr="000401B3">
              <w:rPr>
                <w:color w:val="FFFFFF" w:themeColor="background1"/>
                <w:sz w:val="10"/>
                <w:szCs w:val="10"/>
                <w:vertAlign w:val="subscript"/>
              </w:rPr>
              <w:t>5</w:t>
            </w:r>
            <w:r>
              <w:t xml:space="preserve">necesidad </w:t>
            </w:r>
            <w:r w:rsidR="00DD586D" w:rsidRPr="000401B3">
              <w:rPr>
                <w:color w:val="FFFFFF" w:themeColor="background1"/>
                <w:sz w:val="10"/>
                <w:szCs w:val="10"/>
                <w:vertAlign w:val="subscript"/>
              </w:rPr>
              <w:t>5</w:t>
            </w:r>
            <w:r>
              <w:t>operacional.</w:t>
            </w:r>
          </w:p>
        </w:tc>
        <w:tc>
          <w:tcPr>
            <w:tcW w:w="1216" w:type="dxa"/>
          </w:tcPr>
          <w:p w14:paraId="1167F9D0" w14:textId="77777777" w:rsidR="00657D48" w:rsidRDefault="003F3EEB">
            <w:pPr>
              <w:spacing w:after="200"/>
              <w:jc w:val="center"/>
            </w:pPr>
            <w:r>
              <w:t>2</w:t>
            </w:r>
          </w:p>
        </w:tc>
      </w:tr>
      <w:tr w:rsidR="00657D48" w14:paraId="4F2599FD" w14:textId="77777777">
        <w:tc>
          <w:tcPr>
            <w:tcW w:w="6711" w:type="dxa"/>
          </w:tcPr>
          <w:p w14:paraId="34C8D030" w14:textId="5CAB7950"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 xml:space="preserve">nivel </w:t>
            </w:r>
            <w:r w:rsidR="00DD586D" w:rsidRPr="000401B3">
              <w:rPr>
                <w:color w:val="FFFFFF" w:themeColor="background1"/>
                <w:sz w:val="10"/>
                <w:szCs w:val="10"/>
                <w:vertAlign w:val="subscript"/>
              </w:rPr>
              <w:t>5</w:t>
            </w:r>
            <w:r>
              <w:t>mediano.</w:t>
            </w:r>
          </w:p>
        </w:tc>
        <w:tc>
          <w:tcPr>
            <w:tcW w:w="1216" w:type="dxa"/>
          </w:tcPr>
          <w:p w14:paraId="16E7A159" w14:textId="77777777" w:rsidR="00657D48" w:rsidRDefault="003F3EEB">
            <w:pPr>
              <w:spacing w:after="200"/>
              <w:jc w:val="center"/>
            </w:pPr>
            <w:r>
              <w:t>2</w:t>
            </w:r>
          </w:p>
        </w:tc>
      </w:tr>
      <w:tr w:rsidR="00657D48" w14:paraId="5027C9A0" w14:textId="77777777">
        <w:tc>
          <w:tcPr>
            <w:tcW w:w="6711" w:type="dxa"/>
          </w:tcPr>
          <w:p w14:paraId="709163C3" w14:textId="352D02D1" w:rsidR="00657D48" w:rsidRDefault="003F3EEB">
            <w:pPr>
              <w:spacing w:after="200"/>
            </w:pPr>
            <w:r>
              <w:t>Equipamiento</w:t>
            </w:r>
            <w:r w:rsidR="00DD586D" w:rsidRPr="000401B3">
              <w:rPr>
                <w:color w:val="FFFFFF" w:themeColor="background1"/>
                <w:sz w:val="10"/>
                <w:szCs w:val="10"/>
                <w:vertAlign w:val="subscript"/>
              </w:rPr>
              <w:t>5</w:t>
            </w:r>
            <w:r>
              <w:t xml:space="preserve"> CIRD </w:t>
            </w:r>
            <w:r w:rsidR="00DD586D" w:rsidRPr="000401B3">
              <w:rPr>
                <w:color w:val="FFFFFF" w:themeColor="background1"/>
                <w:sz w:val="10"/>
                <w:szCs w:val="10"/>
                <w:vertAlign w:val="subscript"/>
              </w:rPr>
              <w:t>5</w:t>
            </w:r>
            <w:r>
              <w:t xml:space="preserve">nivel </w:t>
            </w:r>
            <w:r w:rsidR="00DD586D" w:rsidRPr="000401B3">
              <w:rPr>
                <w:color w:val="FFFFFF" w:themeColor="background1"/>
                <w:sz w:val="10"/>
                <w:szCs w:val="10"/>
                <w:vertAlign w:val="subscript"/>
              </w:rPr>
              <w:t>5</w:t>
            </w:r>
            <w:r>
              <w:t xml:space="preserve">mediano de </w:t>
            </w:r>
            <w:r w:rsidR="00DD586D" w:rsidRPr="000401B3">
              <w:rPr>
                <w:color w:val="FFFFFF" w:themeColor="background1"/>
                <w:sz w:val="10"/>
                <w:szCs w:val="10"/>
                <w:vertAlign w:val="subscript"/>
              </w:rPr>
              <w:t>5</w:t>
            </w:r>
            <w:r>
              <w:t xml:space="preserve">acuerdo a la </w:t>
            </w:r>
            <w:r w:rsidR="00DD586D" w:rsidRPr="000401B3">
              <w:rPr>
                <w:color w:val="FFFFFF" w:themeColor="background1"/>
                <w:sz w:val="10"/>
                <w:szCs w:val="10"/>
                <w:vertAlign w:val="subscript"/>
              </w:rPr>
              <w:t>5</w:t>
            </w:r>
            <w:r>
              <w:t xml:space="preserve">zona </w:t>
            </w:r>
            <w:r w:rsidR="00DD586D" w:rsidRPr="000401B3">
              <w:rPr>
                <w:color w:val="FFFFFF" w:themeColor="background1"/>
                <w:sz w:val="10"/>
                <w:szCs w:val="10"/>
                <w:vertAlign w:val="subscript"/>
              </w:rPr>
              <w:t>5</w:t>
            </w:r>
            <w:r>
              <w:t>geográfica y la necesidad</w:t>
            </w:r>
            <w:r w:rsidR="00DD586D" w:rsidRPr="000401B3">
              <w:rPr>
                <w:color w:val="FFFFFF" w:themeColor="background1"/>
                <w:sz w:val="10"/>
                <w:szCs w:val="10"/>
                <w:vertAlign w:val="subscript"/>
              </w:rPr>
              <w:t>5</w:t>
            </w:r>
            <w:r>
              <w:t xml:space="preserve"> </w:t>
            </w:r>
            <w:r w:rsidR="00DD586D" w:rsidRPr="000401B3">
              <w:rPr>
                <w:color w:val="FFFFFF" w:themeColor="background1"/>
                <w:sz w:val="10"/>
                <w:szCs w:val="10"/>
                <w:vertAlign w:val="subscript"/>
              </w:rPr>
              <w:t>5</w:t>
            </w:r>
            <w:r>
              <w:t>operacional.</w:t>
            </w:r>
          </w:p>
        </w:tc>
        <w:tc>
          <w:tcPr>
            <w:tcW w:w="1216" w:type="dxa"/>
          </w:tcPr>
          <w:p w14:paraId="14AD1C6A" w14:textId="77777777" w:rsidR="00657D48" w:rsidRDefault="003F3EEB">
            <w:pPr>
              <w:spacing w:after="200"/>
              <w:jc w:val="center"/>
            </w:pPr>
            <w:r>
              <w:t>3</w:t>
            </w:r>
          </w:p>
        </w:tc>
      </w:tr>
      <w:tr w:rsidR="00657D48" w14:paraId="799CDA33" w14:textId="77777777">
        <w:tc>
          <w:tcPr>
            <w:tcW w:w="6711" w:type="dxa"/>
          </w:tcPr>
          <w:p w14:paraId="216EE508" w14:textId="617CF6F3"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para la </w:t>
            </w:r>
            <w:r w:rsidR="00DD586D" w:rsidRPr="000401B3">
              <w:rPr>
                <w:color w:val="FFFFFF" w:themeColor="background1"/>
                <w:sz w:val="10"/>
                <w:szCs w:val="10"/>
                <w:vertAlign w:val="subscript"/>
              </w:rPr>
              <w:t>5</w:t>
            </w:r>
            <w:r>
              <w:t xml:space="preserve">CIRD para Incendios </w:t>
            </w:r>
            <w:r w:rsidR="00DD586D" w:rsidRPr="000401B3">
              <w:rPr>
                <w:color w:val="FFFFFF" w:themeColor="background1"/>
                <w:sz w:val="10"/>
                <w:szCs w:val="10"/>
                <w:vertAlign w:val="subscript"/>
              </w:rPr>
              <w:t>5</w:t>
            </w:r>
            <w:r>
              <w:t>Forestales.</w:t>
            </w:r>
          </w:p>
        </w:tc>
        <w:tc>
          <w:tcPr>
            <w:tcW w:w="1216" w:type="dxa"/>
          </w:tcPr>
          <w:p w14:paraId="36551895" w14:textId="77777777" w:rsidR="00657D48" w:rsidRDefault="003F3EEB">
            <w:pPr>
              <w:spacing w:after="200"/>
              <w:jc w:val="center"/>
            </w:pPr>
            <w:r>
              <w:t>2</w:t>
            </w:r>
          </w:p>
        </w:tc>
      </w:tr>
      <w:tr w:rsidR="00657D48" w14:paraId="6F85297A" w14:textId="77777777">
        <w:tc>
          <w:tcPr>
            <w:tcW w:w="6711" w:type="dxa"/>
          </w:tcPr>
          <w:p w14:paraId="116BE113" w14:textId="3AA82029" w:rsidR="00657D48" w:rsidRDefault="003F3EEB">
            <w:pPr>
              <w:spacing w:after="200"/>
            </w:pPr>
            <w:r>
              <w:t>Equipamiento</w:t>
            </w:r>
            <w:r w:rsidR="00DD586D" w:rsidRPr="000401B3">
              <w:rPr>
                <w:color w:val="FFFFFF" w:themeColor="background1"/>
                <w:sz w:val="10"/>
                <w:szCs w:val="10"/>
                <w:vertAlign w:val="subscript"/>
              </w:rPr>
              <w:t>5</w:t>
            </w:r>
            <w:r>
              <w:t xml:space="preserve"> para la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 xml:space="preserve">para </w:t>
            </w:r>
            <w:r w:rsidR="00DD586D" w:rsidRPr="000401B3">
              <w:rPr>
                <w:color w:val="FFFFFF" w:themeColor="background1"/>
                <w:sz w:val="10"/>
                <w:szCs w:val="10"/>
                <w:vertAlign w:val="subscript"/>
              </w:rPr>
              <w:t>5</w:t>
            </w:r>
            <w:r>
              <w:t xml:space="preserve">Incendios </w:t>
            </w:r>
            <w:r w:rsidR="00DD586D" w:rsidRPr="000401B3">
              <w:rPr>
                <w:color w:val="FFFFFF" w:themeColor="background1"/>
                <w:sz w:val="10"/>
                <w:szCs w:val="10"/>
                <w:vertAlign w:val="subscript"/>
              </w:rPr>
              <w:t>5</w:t>
            </w:r>
            <w:r>
              <w:t xml:space="preserve">Forestales, </w:t>
            </w:r>
            <w:r w:rsidR="00DD586D" w:rsidRPr="000401B3">
              <w:rPr>
                <w:color w:val="FFFFFF" w:themeColor="background1"/>
                <w:sz w:val="10"/>
                <w:szCs w:val="10"/>
                <w:vertAlign w:val="subscript"/>
              </w:rPr>
              <w:t>5</w:t>
            </w:r>
            <w:r>
              <w:t xml:space="preserve">de </w:t>
            </w:r>
            <w:r w:rsidR="00DD586D" w:rsidRPr="000401B3">
              <w:rPr>
                <w:color w:val="FFFFFF" w:themeColor="background1"/>
                <w:sz w:val="10"/>
                <w:szCs w:val="10"/>
                <w:vertAlign w:val="subscript"/>
              </w:rPr>
              <w:t>5</w:t>
            </w:r>
            <w:r>
              <w:t xml:space="preserve">acuerdo a la </w:t>
            </w:r>
            <w:r w:rsidR="00DD586D" w:rsidRPr="000401B3">
              <w:rPr>
                <w:color w:val="FFFFFF" w:themeColor="background1"/>
                <w:sz w:val="10"/>
                <w:szCs w:val="10"/>
                <w:vertAlign w:val="subscript"/>
              </w:rPr>
              <w:t>5</w:t>
            </w:r>
            <w:r>
              <w:t>zona geográfica</w:t>
            </w:r>
            <w:r w:rsidR="00DD586D" w:rsidRPr="000401B3">
              <w:rPr>
                <w:color w:val="FFFFFF" w:themeColor="background1"/>
                <w:sz w:val="10"/>
                <w:szCs w:val="10"/>
                <w:vertAlign w:val="subscript"/>
              </w:rPr>
              <w:t>5</w:t>
            </w:r>
            <w:r>
              <w:t xml:space="preserve"> y la </w:t>
            </w:r>
            <w:r w:rsidR="00DD586D" w:rsidRPr="000401B3">
              <w:rPr>
                <w:color w:val="FFFFFF" w:themeColor="background1"/>
                <w:sz w:val="10"/>
                <w:szCs w:val="10"/>
                <w:vertAlign w:val="subscript"/>
              </w:rPr>
              <w:t>5</w:t>
            </w:r>
            <w:r>
              <w:t xml:space="preserve">necesidad </w:t>
            </w:r>
            <w:r w:rsidR="00DD586D" w:rsidRPr="000401B3">
              <w:rPr>
                <w:color w:val="FFFFFF" w:themeColor="background1"/>
                <w:sz w:val="10"/>
                <w:szCs w:val="10"/>
                <w:vertAlign w:val="subscript"/>
              </w:rPr>
              <w:t>5</w:t>
            </w:r>
            <w:r>
              <w:t>operacional.</w:t>
            </w:r>
          </w:p>
        </w:tc>
        <w:tc>
          <w:tcPr>
            <w:tcW w:w="1216" w:type="dxa"/>
          </w:tcPr>
          <w:p w14:paraId="72A643D5" w14:textId="77777777" w:rsidR="00657D48" w:rsidRDefault="003F3EEB">
            <w:pPr>
              <w:spacing w:after="200"/>
              <w:jc w:val="center"/>
            </w:pPr>
            <w:r>
              <w:t>3</w:t>
            </w:r>
          </w:p>
        </w:tc>
      </w:tr>
      <w:tr w:rsidR="00657D48" w14:paraId="2BC0DC75" w14:textId="77777777">
        <w:tc>
          <w:tcPr>
            <w:tcW w:w="6711" w:type="dxa"/>
          </w:tcPr>
          <w:p w14:paraId="62952B20" w14:textId="056BCD3E"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de las </w:t>
            </w:r>
            <w:r w:rsidR="00DD586D" w:rsidRPr="000401B3">
              <w:rPr>
                <w:color w:val="FFFFFF" w:themeColor="background1"/>
                <w:sz w:val="10"/>
                <w:szCs w:val="10"/>
                <w:vertAlign w:val="subscript"/>
              </w:rPr>
              <w:t>5</w:t>
            </w:r>
            <w:r>
              <w:t>CIRDAT.</w:t>
            </w:r>
          </w:p>
        </w:tc>
        <w:tc>
          <w:tcPr>
            <w:tcW w:w="1216" w:type="dxa"/>
          </w:tcPr>
          <w:p w14:paraId="0FA44391" w14:textId="77777777" w:rsidR="00657D48" w:rsidRDefault="003F3EEB">
            <w:pPr>
              <w:spacing w:after="200"/>
              <w:jc w:val="center"/>
            </w:pPr>
            <w:r>
              <w:t>2</w:t>
            </w:r>
          </w:p>
        </w:tc>
      </w:tr>
      <w:tr w:rsidR="00657D48" w14:paraId="1FD1FC6D" w14:textId="77777777">
        <w:tc>
          <w:tcPr>
            <w:tcW w:w="6711" w:type="dxa"/>
          </w:tcPr>
          <w:p w14:paraId="20D6329F" w14:textId="27CD5F42" w:rsidR="00657D48" w:rsidRDefault="003F3EEB">
            <w:pPr>
              <w:spacing w:after="200"/>
            </w:pPr>
            <w:r>
              <w:t>Equipamiento</w:t>
            </w:r>
            <w:r w:rsidR="00DD586D" w:rsidRPr="000401B3">
              <w:rPr>
                <w:color w:val="FFFFFF" w:themeColor="background1"/>
                <w:sz w:val="10"/>
                <w:szCs w:val="10"/>
                <w:vertAlign w:val="subscript"/>
              </w:rPr>
              <w:t>5</w:t>
            </w:r>
            <w:r>
              <w:t xml:space="preserve"> de los </w:t>
            </w:r>
            <w:r w:rsidR="00DD586D" w:rsidRPr="000401B3">
              <w:rPr>
                <w:color w:val="FFFFFF" w:themeColor="background1"/>
                <w:sz w:val="10"/>
                <w:szCs w:val="10"/>
                <w:vertAlign w:val="subscript"/>
              </w:rPr>
              <w:t>5</w:t>
            </w:r>
            <w:r>
              <w:t xml:space="preserve">CIRDAT </w:t>
            </w:r>
            <w:r w:rsidR="00DD586D" w:rsidRPr="000401B3">
              <w:rPr>
                <w:color w:val="FFFFFF" w:themeColor="background1"/>
                <w:sz w:val="10"/>
                <w:szCs w:val="10"/>
                <w:vertAlign w:val="subscript"/>
              </w:rPr>
              <w:t>5</w:t>
            </w:r>
            <w:r>
              <w:t xml:space="preserve">según la </w:t>
            </w:r>
            <w:r w:rsidR="00DD586D" w:rsidRPr="000401B3">
              <w:rPr>
                <w:color w:val="FFFFFF" w:themeColor="background1"/>
                <w:sz w:val="10"/>
                <w:szCs w:val="10"/>
                <w:vertAlign w:val="subscript"/>
              </w:rPr>
              <w:t>5</w:t>
            </w:r>
            <w:r>
              <w:t>programación.</w:t>
            </w:r>
          </w:p>
        </w:tc>
        <w:tc>
          <w:tcPr>
            <w:tcW w:w="1216" w:type="dxa"/>
          </w:tcPr>
          <w:p w14:paraId="5460C77E" w14:textId="77777777" w:rsidR="00657D48" w:rsidRDefault="003F3EEB">
            <w:pPr>
              <w:spacing w:after="200"/>
              <w:jc w:val="center"/>
            </w:pPr>
            <w:r>
              <w:t>3</w:t>
            </w:r>
          </w:p>
        </w:tc>
      </w:tr>
      <w:tr w:rsidR="00657D48" w14:paraId="194E6918" w14:textId="77777777">
        <w:tc>
          <w:tcPr>
            <w:tcW w:w="6711" w:type="dxa"/>
          </w:tcPr>
          <w:p w14:paraId="55CD984B" w14:textId="232EFF89" w:rsidR="00657D48" w:rsidRDefault="003F3EEB">
            <w:pPr>
              <w:spacing w:after="200"/>
            </w:pPr>
            <w:r>
              <w:t>Evaluación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análisis del </w:t>
            </w:r>
            <w:r w:rsidR="00DD586D" w:rsidRPr="000401B3">
              <w:rPr>
                <w:color w:val="FFFFFF" w:themeColor="background1"/>
                <w:sz w:val="10"/>
                <w:szCs w:val="10"/>
                <w:vertAlign w:val="subscript"/>
              </w:rPr>
              <w:t>5</w:t>
            </w:r>
            <w:r>
              <w:t xml:space="preserve">equipamiento de </w:t>
            </w:r>
            <w:r w:rsidR="00DD586D" w:rsidRPr="000401B3">
              <w:rPr>
                <w:color w:val="FFFFFF" w:themeColor="background1"/>
                <w:sz w:val="10"/>
                <w:szCs w:val="10"/>
                <w:vertAlign w:val="subscript"/>
              </w:rPr>
              <w:t>5</w:t>
            </w:r>
            <w:r>
              <w:t xml:space="preserve">las </w:t>
            </w:r>
            <w:r w:rsidR="00DD586D" w:rsidRPr="000401B3">
              <w:rPr>
                <w:color w:val="FFFFFF" w:themeColor="background1"/>
                <w:sz w:val="10"/>
                <w:szCs w:val="10"/>
                <w:vertAlign w:val="subscript"/>
              </w:rPr>
              <w:t>5</w:t>
            </w:r>
            <w:r>
              <w:t xml:space="preserve">CEMI de la </w:t>
            </w:r>
            <w:r w:rsidR="00DD586D" w:rsidRPr="000401B3">
              <w:rPr>
                <w:color w:val="FFFFFF" w:themeColor="background1"/>
                <w:sz w:val="10"/>
                <w:szCs w:val="10"/>
                <w:vertAlign w:val="subscript"/>
              </w:rPr>
              <w:t>5</w:t>
            </w:r>
            <w:r>
              <w:t xml:space="preserve">MGP y la </w:t>
            </w:r>
            <w:r w:rsidR="00DD586D" w:rsidRPr="000401B3">
              <w:rPr>
                <w:color w:val="FFFFFF" w:themeColor="background1"/>
                <w:sz w:val="10"/>
                <w:szCs w:val="10"/>
                <w:vertAlign w:val="subscript"/>
              </w:rPr>
              <w:t>5</w:t>
            </w:r>
            <w:r>
              <w:t xml:space="preserve">SEAV de la </w:t>
            </w:r>
            <w:r w:rsidR="00DD586D" w:rsidRPr="000401B3">
              <w:rPr>
                <w:color w:val="FFFFFF" w:themeColor="background1"/>
                <w:sz w:val="10"/>
                <w:szCs w:val="10"/>
                <w:vertAlign w:val="subscript"/>
              </w:rPr>
              <w:t>5</w:t>
            </w:r>
            <w:r>
              <w:t>FAP.</w:t>
            </w:r>
          </w:p>
        </w:tc>
        <w:tc>
          <w:tcPr>
            <w:tcW w:w="1216" w:type="dxa"/>
          </w:tcPr>
          <w:p w14:paraId="4B586603" w14:textId="77777777" w:rsidR="00657D48" w:rsidRDefault="003F3EEB">
            <w:pPr>
              <w:spacing w:after="200"/>
              <w:jc w:val="center"/>
            </w:pPr>
            <w:r>
              <w:t>2</w:t>
            </w:r>
          </w:p>
        </w:tc>
      </w:tr>
      <w:tr w:rsidR="00657D48" w14:paraId="154028B9" w14:textId="77777777">
        <w:tc>
          <w:tcPr>
            <w:tcW w:w="6711" w:type="dxa"/>
          </w:tcPr>
          <w:p w14:paraId="702275B0" w14:textId="2998A81E"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de las </w:t>
            </w:r>
            <w:r w:rsidR="00DD586D" w:rsidRPr="000401B3">
              <w:rPr>
                <w:color w:val="FFFFFF" w:themeColor="background1"/>
                <w:sz w:val="10"/>
                <w:szCs w:val="10"/>
                <w:vertAlign w:val="subscript"/>
              </w:rPr>
              <w:t>5</w:t>
            </w:r>
            <w:r>
              <w:t xml:space="preserve">CEMI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EP.</w:t>
            </w:r>
          </w:p>
        </w:tc>
        <w:tc>
          <w:tcPr>
            <w:tcW w:w="1216" w:type="dxa"/>
          </w:tcPr>
          <w:p w14:paraId="7509D513" w14:textId="77777777" w:rsidR="00657D48" w:rsidRDefault="003F3EEB">
            <w:pPr>
              <w:spacing w:after="200"/>
              <w:jc w:val="center"/>
            </w:pPr>
            <w:r>
              <w:t>2</w:t>
            </w:r>
          </w:p>
        </w:tc>
      </w:tr>
      <w:tr w:rsidR="00657D48" w14:paraId="073230FB" w14:textId="77777777">
        <w:tc>
          <w:tcPr>
            <w:tcW w:w="6711" w:type="dxa"/>
          </w:tcPr>
          <w:p w14:paraId="59670D8F" w14:textId="72FF6C31"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de los </w:t>
            </w:r>
            <w:r w:rsidR="00DD586D" w:rsidRPr="000401B3">
              <w:rPr>
                <w:color w:val="FFFFFF" w:themeColor="background1"/>
                <w:sz w:val="10"/>
                <w:szCs w:val="10"/>
                <w:vertAlign w:val="subscript"/>
              </w:rPr>
              <w:t>5</w:t>
            </w:r>
            <w:r>
              <w:t xml:space="preserve">SEAV de la </w:t>
            </w:r>
            <w:r w:rsidR="00DD586D" w:rsidRPr="000401B3">
              <w:rPr>
                <w:color w:val="FFFFFF" w:themeColor="background1"/>
                <w:sz w:val="10"/>
                <w:szCs w:val="10"/>
                <w:vertAlign w:val="subscript"/>
              </w:rPr>
              <w:t>5</w:t>
            </w:r>
            <w:r>
              <w:t xml:space="preserve">FAP. </w:t>
            </w:r>
          </w:p>
        </w:tc>
        <w:tc>
          <w:tcPr>
            <w:tcW w:w="1216" w:type="dxa"/>
          </w:tcPr>
          <w:p w14:paraId="6180044F" w14:textId="77777777" w:rsidR="00657D48" w:rsidRDefault="003F3EEB">
            <w:pPr>
              <w:spacing w:after="200"/>
              <w:jc w:val="center"/>
            </w:pPr>
            <w:r>
              <w:t>3</w:t>
            </w:r>
          </w:p>
        </w:tc>
      </w:tr>
      <w:tr w:rsidR="00657D48" w14:paraId="5FEDC3F4" w14:textId="77777777">
        <w:tc>
          <w:tcPr>
            <w:tcW w:w="6711" w:type="dxa"/>
          </w:tcPr>
          <w:p w14:paraId="2B8DBE57" w14:textId="28197931" w:rsidR="00657D48" w:rsidRDefault="003F3EEB">
            <w:pPr>
              <w:spacing w:after="200"/>
            </w:pPr>
            <w:r>
              <w:lastRenderedPageBreak/>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de las </w:t>
            </w:r>
            <w:r w:rsidR="00DD586D" w:rsidRPr="000401B3">
              <w:rPr>
                <w:color w:val="FFFFFF" w:themeColor="background1"/>
                <w:sz w:val="10"/>
                <w:szCs w:val="10"/>
                <w:vertAlign w:val="subscript"/>
              </w:rPr>
              <w:t>5</w:t>
            </w:r>
            <w:r>
              <w:t>CEMI de la MGP.</w:t>
            </w:r>
          </w:p>
        </w:tc>
        <w:tc>
          <w:tcPr>
            <w:tcW w:w="1216" w:type="dxa"/>
          </w:tcPr>
          <w:p w14:paraId="77CBC913" w14:textId="77777777" w:rsidR="00657D48" w:rsidRDefault="003F3EEB">
            <w:pPr>
              <w:spacing w:after="200"/>
              <w:jc w:val="center"/>
            </w:pPr>
            <w:r>
              <w:t>3</w:t>
            </w:r>
          </w:p>
        </w:tc>
      </w:tr>
      <w:tr w:rsidR="00657D48" w14:paraId="3D1C2725" w14:textId="77777777">
        <w:tc>
          <w:tcPr>
            <w:tcW w:w="6711" w:type="dxa"/>
          </w:tcPr>
          <w:p w14:paraId="3F8350C4" w14:textId="2BBF82E3" w:rsidR="00657D48" w:rsidRDefault="003F3EEB">
            <w:pPr>
              <w:spacing w:after="200"/>
            </w:pPr>
            <w:r>
              <w:t>Equipamiento</w:t>
            </w:r>
            <w:r w:rsidR="00DD586D" w:rsidRPr="000401B3">
              <w:rPr>
                <w:color w:val="FFFFFF" w:themeColor="background1"/>
                <w:sz w:val="10"/>
                <w:szCs w:val="10"/>
                <w:vertAlign w:val="subscript"/>
              </w:rPr>
              <w:t>5</w:t>
            </w:r>
            <w:r>
              <w:t xml:space="preserve"> para los </w:t>
            </w:r>
            <w:r w:rsidR="00DD586D" w:rsidRPr="000401B3">
              <w:rPr>
                <w:color w:val="FFFFFF" w:themeColor="background1"/>
                <w:sz w:val="10"/>
                <w:szCs w:val="10"/>
                <w:vertAlign w:val="subscript"/>
              </w:rPr>
              <w:t>5</w:t>
            </w:r>
            <w:r>
              <w:t xml:space="preserve">CEMI del EP </w:t>
            </w:r>
            <w:r w:rsidR="00DD586D" w:rsidRPr="000401B3">
              <w:rPr>
                <w:color w:val="FFFFFF" w:themeColor="background1"/>
                <w:sz w:val="10"/>
                <w:szCs w:val="10"/>
                <w:vertAlign w:val="subscript"/>
              </w:rPr>
              <w:t>5</w:t>
            </w:r>
            <w:r>
              <w:t xml:space="preserve">según la </w:t>
            </w:r>
            <w:r w:rsidR="00DD586D" w:rsidRPr="000401B3">
              <w:rPr>
                <w:color w:val="FFFFFF" w:themeColor="background1"/>
                <w:sz w:val="10"/>
                <w:szCs w:val="10"/>
                <w:vertAlign w:val="subscript"/>
              </w:rPr>
              <w:t>5</w:t>
            </w:r>
            <w:r>
              <w:t>programación.</w:t>
            </w:r>
          </w:p>
        </w:tc>
        <w:tc>
          <w:tcPr>
            <w:tcW w:w="1216" w:type="dxa"/>
          </w:tcPr>
          <w:p w14:paraId="2BBE42F9" w14:textId="77777777" w:rsidR="00657D48" w:rsidRDefault="003F3EEB">
            <w:pPr>
              <w:spacing w:after="200"/>
              <w:jc w:val="center"/>
            </w:pPr>
            <w:r>
              <w:t>2</w:t>
            </w:r>
          </w:p>
        </w:tc>
      </w:tr>
      <w:tr w:rsidR="00657D48" w14:paraId="7C0D38DC" w14:textId="77777777">
        <w:tc>
          <w:tcPr>
            <w:tcW w:w="6711" w:type="dxa"/>
          </w:tcPr>
          <w:p w14:paraId="7C16845D" w14:textId="7852C640" w:rsidR="00657D48" w:rsidRDefault="003F3EEB">
            <w:pPr>
              <w:spacing w:after="200"/>
            </w:pPr>
            <w:r>
              <w:t>Equipamiento</w:t>
            </w:r>
            <w:r w:rsidR="00DD586D" w:rsidRPr="000401B3">
              <w:rPr>
                <w:color w:val="FFFFFF" w:themeColor="background1"/>
                <w:sz w:val="10"/>
                <w:szCs w:val="10"/>
                <w:vertAlign w:val="subscript"/>
              </w:rPr>
              <w:t>5</w:t>
            </w:r>
            <w:r>
              <w:t xml:space="preserve"> para los </w:t>
            </w:r>
            <w:r w:rsidR="00DD586D" w:rsidRPr="000401B3">
              <w:rPr>
                <w:color w:val="FFFFFF" w:themeColor="background1"/>
                <w:sz w:val="10"/>
                <w:szCs w:val="10"/>
                <w:vertAlign w:val="subscript"/>
              </w:rPr>
              <w:t>5</w:t>
            </w:r>
            <w:r>
              <w:t xml:space="preserve">CEMI de la </w:t>
            </w:r>
            <w:r w:rsidR="00DD586D" w:rsidRPr="000401B3">
              <w:rPr>
                <w:color w:val="FFFFFF" w:themeColor="background1"/>
                <w:sz w:val="10"/>
                <w:szCs w:val="10"/>
                <w:vertAlign w:val="subscript"/>
              </w:rPr>
              <w:t>5</w:t>
            </w:r>
            <w:r>
              <w:t xml:space="preserve">MGP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 xml:space="preserve">programación. </w:t>
            </w:r>
            <w:r w:rsidR="00DD586D" w:rsidRPr="000401B3">
              <w:rPr>
                <w:color w:val="FFFFFF" w:themeColor="background1"/>
                <w:sz w:val="10"/>
                <w:szCs w:val="10"/>
                <w:vertAlign w:val="subscript"/>
              </w:rPr>
              <w:t>5</w:t>
            </w:r>
            <w:r>
              <w:t xml:space="preserve">MGP  </w:t>
            </w:r>
          </w:p>
        </w:tc>
        <w:tc>
          <w:tcPr>
            <w:tcW w:w="1216" w:type="dxa"/>
          </w:tcPr>
          <w:p w14:paraId="06E0E065" w14:textId="77777777" w:rsidR="00657D48" w:rsidRDefault="003F3EEB">
            <w:pPr>
              <w:spacing w:after="200"/>
              <w:jc w:val="center"/>
            </w:pPr>
            <w:r>
              <w:t>3</w:t>
            </w:r>
          </w:p>
        </w:tc>
      </w:tr>
      <w:tr w:rsidR="00657D48" w14:paraId="34F2E97B" w14:textId="77777777">
        <w:tc>
          <w:tcPr>
            <w:tcW w:w="6711" w:type="dxa"/>
          </w:tcPr>
          <w:p w14:paraId="224B5CA4" w14:textId="6CA2ECD9" w:rsidR="00657D48" w:rsidRDefault="003F3EEB">
            <w:pPr>
              <w:spacing w:after="200"/>
            </w:pPr>
            <w:r>
              <w:t>Equipamiento</w:t>
            </w:r>
            <w:r w:rsidR="00DD586D" w:rsidRPr="000401B3">
              <w:rPr>
                <w:color w:val="FFFFFF" w:themeColor="background1"/>
                <w:sz w:val="10"/>
                <w:szCs w:val="10"/>
                <w:vertAlign w:val="subscript"/>
              </w:rPr>
              <w:t>5</w:t>
            </w:r>
            <w:r>
              <w:t xml:space="preserve"> para los </w:t>
            </w:r>
            <w:r w:rsidR="00DD586D" w:rsidRPr="000401B3">
              <w:rPr>
                <w:color w:val="FFFFFF" w:themeColor="background1"/>
                <w:sz w:val="10"/>
                <w:szCs w:val="10"/>
                <w:vertAlign w:val="subscript"/>
              </w:rPr>
              <w:t>5</w:t>
            </w:r>
            <w:r>
              <w:t xml:space="preserve">SEAV de la </w:t>
            </w:r>
            <w:r w:rsidR="00DD586D" w:rsidRPr="000401B3">
              <w:rPr>
                <w:color w:val="FFFFFF" w:themeColor="background1"/>
                <w:sz w:val="10"/>
                <w:szCs w:val="10"/>
                <w:vertAlign w:val="subscript"/>
              </w:rPr>
              <w:t>5</w:t>
            </w:r>
            <w:r>
              <w:t xml:space="preserve">FAP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programación</w:t>
            </w:r>
          </w:p>
        </w:tc>
        <w:tc>
          <w:tcPr>
            <w:tcW w:w="1216" w:type="dxa"/>
          </w:tcPr>
          <w:p w14:paraId="402DB7D9" w14:textId="77777777" w:rsidR="00657D48" w:rsidRDefault="003F3EEB">
            <w:pPr>
              <w:spacing w:after="200"/>
              <w:jc w:val="center"/>
            </w:pPr>
            <w:r>
              <w:t>3</w:t>
            </w:r>
          </w:p>
        </w:tc>
      </w:tr>
      <w:tr w:rsidR="00657D48" w14:paraId="49A3F6BE" w14:textId="77777777">
        <w:tc>
          <w:tcPr>
            <w:tcW w:w="6711" w:type="dxa"/>
          </w:tcPr>
          <w:p w14:paraId="65F3F1DE" w14:textId="7249B1C3" w:rsidR="00657D48" w:rsidRDefault="003F3EEB">
            <w:pPr>
              <w:spacing w:after="200"/>
            </w:pPr>
            <w:r>
              <w:t>Formulación</w:t>
            </w:r>
            <w:r w:rsidR="00DD586D" w:rsidRPr="000401B3">
              <w:rPr>
                <w:color w:val="FFFFFF" w:themeColor="background1"/>
                <w:sz w:val="10"/>
                <w:szCs w:val="10"/>
                <w:vertAlign w:val="subscript"/>
              </w:rPr>
              <w:t>5</w:t>
            </w:r>
            <w:r>
              <w:t xml:space="preserve"> y aprobación</w:t>
            </w:r>
            <w:r w:rsidR="00DD586D" w:rsidRPr="000401B3">
              <w:rPr>
                <w:color w:val="FFFFFF" w:themeColor="background1"/>
                <w:sz w:val="10"/>
                <w:szCs w:val="10"/>
                <w:vertAlign w:val="subscript"/>
              </w:rPr>
              <w:t>5</w:t>
            </w:r>
            <w:r>
              <w:t xml:space="preserve"> del PIP</w:t>
            </w:r>
            <w:r w:rsidR="00DD586D" w:rsidRPr="000401B3">
              <w:rPr>
                <w:color w:val="FFFFFF" w:themeColor="background1"/>
                <w:sz w:val="10"/>
                <w:szCs w:val="10"/>
                <w:vertAlign w:val="subscript"/>
              </w:rPr>
              <w:t>5</w:t>
            </w:r>
            <w:r>
              <w:t xml:space="preserve"> para</w:t>
            </w:r>
            <w:r w:rsidR="00DD586D" w:rsidRPr="000401B3">
              <w:rPr>
                <w:color w:val="FFFFFF" w:themeColor="background1"/>
                <w:sz w:val="10"/>
                <w:szCs w:val="10"/>
                <w:vertAlign w:val="subscript"/>
              </w:rPr>
              <w:t>5</w:t>
            </w:r>
            <w:r>
              <w:t xml:space="preserve"> el </w:t>
            </w:r>
            <w:r w:rsidR="00DD586D" w:rsidRPr="000401B3">
              <w:rPr>
                <w:color w:val="FFFFFF" w:themeColor="background1"/>
                <w:sz w:val="10"/>
                <w:szCs w:val="10"/>
                <w:vertAlign w:val="subscript"/>
              </w:rPr>
              <w:t>5</w:t>
            </w:r>
            <w:r>
              <w:t xml:space="preserve">equipamiento con </w:t>
            </w:r>
            <w:r w:rsidR="00DD586D" w:rsidRPr="000401B3">
              <w:rPr>
                <w:color w:val="FFFFFF" w:themeColor="background1"/>
                <w:sz w:val="10"/>
                <w:szCs w:val="10"/>
                <w:vertAlign w:val="subscript"/>
              </w:rPr>
              <w:t>5</w:t>
            </w:r>
            <w:r>
              <w:t>infraestructura móvil</w:t>
            </w:r>
            <w:r w:rsidR="00DD586D" w:rsidRPr="000401B3">
              <w:rPr>
                <w:color w:val="FFFFFF" w:themeColor="background1"/>
                <w:sz w:val="10"/>
                <w:szCs w:val="10"/>
                <w:vertAlign w:val="subscript"/>
              </w:rPr>
              <w:t>5</w:t>
            </w:r>
            <w:r>
              <w:t xml:space="preserve"> del EP.  </w:t>
            </w:r>
          </w:p>
        </w:tc>
        <w:tc>
          <w:tcPr>
            <w:tcW w:w="1216" w:type="dxa"/>
          </w:tcPr>
          <w:p w14:paraId="5A92B7D9" w14:textId="77777777" w:rsidR="00657D48" w:rsidRDefault="003F3EEB">
            <w:pPr>
              <w:spacing w:after="200"/>
              <w:jc w:val="center"/>
            </w:pPr>
            <w:r>
              <w:t>2</w:t>
            </w:r>
          </w:p>
        </w:tc>
      </w:tr>
      <w:tr w:rsidR="00657D48" w14:paraId="40DC6AA2" w14:textId="77777777">
        <w:tc>
          <w:tcPr>
            <w:tcW w:w="6711" w:type="dxa"/>
          </w:tcPr>
          <w:p w14:paraId="323DBAFB" w14:textId="37ECB43B" w:rsidR="00657D48" w:rsidRDefault="003F3EEB">
            <w:pPr>
              <w:spacing w:after="200"/>
            </w:pPr>
            <w:r>
              <w:t>Equipamiento</w:t>
            </w:r>
            <w:r w:rsidR="00DD586D" w:rsidRPr="000401B3">
              <w:rPr>
                <w:color w:val="FFFFFF" w:themeColor="background1"/>
                <w:sz w:val="10"/>
                <w:szCs w:val="10"/>
                <w:vertAlign w:val="subscript"/>
              </w:rPr>
              <w:t>5</w:t>
            </w:r>
            <w:r>
              <w:t xml:space="preserve"> para </w:t>
            </w:r>
            <w:r w:rsidR="00DD586D" w:rsidRPr="000401B3">
              <w:rPr>
                <w:color w:val="FFFFFF" w:themeColor="background1"/>
                <w:sz w:val="10"/>
                <w:szCs w:val="10"/>
                <w:vertAlign w:val="subscript"/>
              </w:rPr>
              <w:t>5</w:t>
            </w:r>
            <w:r>
              <w:t xml:space="preserve">infraestructura </w:t>
            </w:r>
            <w:r w:rsidR="00DD586D" w:rsidRPr="000401B3">
              <w:rPr>
                <w:color w:val="FFFFFF" w:themeColor="background1"/>
                <w:sz w:val="10"/>
                <w:szCs w:val="10"/>
                <w:vertAlign w:val="subscript"/>
              </w:rPr>
              <w:t>5</w:t>
            </w:r>
            <w:r>
              <w:t xml:space="preserve">móvil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EP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programación.</w:t>
            </w:r>
          </w:p>
        </w:tc>
        <w:tc>
          <w:tcPr>
            <w:tcW w:w="1216" w:type="dxa"/>
          </w:tcPr>
          <w:p w14:paraId="053AEE80" w14:textId="77777777" w:rsidR="00657D48" w:rsidRDefault="003F3EEB">
            <w:pPr>
              <w:spacing w:after="200"/>
              <w:jc w:val="center"/>
            </w:pPr>
            <w:r>
              <w:t>3</w:t>
            </w:r>
          </w:p>
        </w:tc>
      </w:tr>
      <w:tr w:rsidR="00657D48" w14:paraId="2F7E45F9" w14:textId="77777777">
        <w:tc>
          <w:tcPr>
            <w:tcW w:w="6711" w:type="dxa"/>
          </w:tcPr>
          <w:p w14:paraId="62F3A34A" w14:textId="6CF30AB4" w:rsidR="00657D48" w:rsidRDefault="003F3EEB">
            <w:pPr>
              <w:spacing w:after="200"/>
            </w:pPr>
            <w:r>
              <w:t>Equipamiento</w:t>
            </w:r>
            <w:r w:rsidR="00DD586D" w:rsidRPr="000401B3">
              <w:rPr>
                <w:color w:val="FFFFFF" w:themeColor="background1"/>
                <w:sz w:val="10"/>
                <w:szCs w:val="10"/>
                <w:vertAlign w:val="subscript"/>
              </w:rPr>
              <w:t>5</w:t>
            </w:r>
            <w:r>
              <w:t xml:space="preserve"> en el </w:t>
            </w:r>
            <w:r w:rsidR="00DD586D" w:rsidRPr="000401B3">
              <w:rPr>
                <w:color w:val="FFFFFF" w:themeColor="background1"/>
                <w:sz w:val="10"/>
                <w:szCs w:val="10"/>
                <w:vertAlign w:val="subscript"/>
              </w:rPr>
              <w:t>5</w:t>
            </w:r>
            <w:r>
              <w:t xml:space="preserve">EP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manejo de los </w:t>
            </w:r>
            <w:r w:rsidR="00DD586D" w:rsidRPr="000401B3">
              <w:rPr>
                <w:color w:val="FFFFFF" w:themeColor="background1"/>
                <w:sz w:val="10"/>
                <w:szCs w:val="10"/>
                <w:vertAlign w:val="subscript"/>
              </w:rPr>
              <w:t>5</w:t>
            </w:r>
            <w:r>
              <w:t xml:space="preserve">peligros </w:t>
            </w:r>
            <w:r w:rsidR="00DD586D" w:rsidRPr="000401B3">
              <w:rPr>
                <w:color w:val="FFFFFF" w:themeColor="background1"/>
                <w:sz w:val="10"/>
                <w:szCs w:val="10"/>
                <w:vertAlign w:val="subscript"/>
              </w:rPr>
              <w:t>5</w:t>
            </w:r>
            <w:r>
              <w:t xml:space="preserve">NBQR (Nuclear, </w:t>
            </w:r>
            <w:r w:rsidR="00DD586D" w:rsidRPr="000401B3">
              <w:rPr>
                <w:color w:val="FFFFFF" w:themeColor="background1"/>
                <w:sz w:val="10"/>
                <w:szCs w:val="10"/>
                <w:vertAlign w:val="subscript"/>
              </w:rPr>
              <w:t>5</w:t>
            </w:r>
            <w:r>
              <w:t xml:space="preserve">Bacteriológico, </w:t>
            </w:r>
            <w:r w:rsidR="00DD586D" w:rsidRPr="000401B3">
              <w:rPr>
                <w:color w:val="FFFFFF" w:themeColor="background1"/>
                <w:sz w:val="10"/>
                <w:szCs w:val="10"/>
                <w:vertAlign w:val="subscript"/>
              </w:rPr>
              <w:t>5</w:t>
            </w:r>
            <w:r>
              <w:t xml:space="preserve">Químico y </w:t>
            </w:r>
            <w:r w:rsidR="00DD586D" w:rsidRPr="000401B3">
              <w:rPr>
                <w:color w:val="FFFFFF" w:themeColor="background1"/>
                <w:sz w:val="10"/>
                <w:szCs w:val="10"/>
                <w:vertAlign w:val="subscript"/>
              </w:rPr>
              <w:t>5</w:t>
            </w:r>
            <w:r>
              <w:t>Radiológico).</w:t>
            </w:r>
          </w:p>
        </w:tc>
        <w:tc>
          <w:tcPr>
            <w:tcW w:w="1216" w:type="dxa"/>
          </w:tcPr>
          <w:p w14:paraId="37CC30F0" w14:textId="77777777" w:rsidR="00657D48" w:rsidRDefault="003F3EEB">
            <w:pPr>
              <w:spacing w:after="200"/>
              <w:jc w:val="center"/>
            </w:pPr>
            <w:r>
              <w:t>3</w:t>
            </w:r>
          </w:p>
        </w:tc>
      </w:tr>
      <w:tr w:rsidR="00657D48" w14:paraId="2CE3A61F" w14:textId="77777777">
        <w:tc>
          <w:tcPr>
            <w:tcW w:w="6711" w:type="dxa"/>
          </w:tcPr>
          <w:p w14:paraId="1A4F32AF" w14:textId="1AA718D7" w:rsidR="00657D48" w:rsidRDefault="003F3EEB">
            <w:pPr>
              <w:spacing w:after="200"/>
            </w:pPr>
            <w:r>
              <w:t>Evaluación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análisis del </w:t>
            </w:r>
            <w:r w:rsidR="00DD586D" w:rsidRPr="000401B3">
              <w:rPr>
                <w:color w:val="FFFFFF" w:themeColor="background1"/>
                <w:sz w:val="10"/>
                <w:szCs w:val="10"/>
                <w:vertAlign w:val="subscript"/>
              </w:rPr>
              <w:t>5</w:t>
            </w:r>
            <w:r>
              <w:t>equipamiento de</w:t>
            </w:r>
            <w:r w:rsidR="00DD586D" w:rsidRPr="000401B3">
              <w:rPr>
                <w:color w:val="FFFFFF" w:themeColor="background1"/>
                <w:sz w:val="10"/>
                <w:szCs w:val="10"/>
                <w:vertAlign w:val="subscript"/>
              </w:rPr>
              <w:t>5</w:t>
            </w:r>
            <w:r>
              <w:t xml:space="preserve"> las </w:t>
            </w:r>
            <w:r w:rsidR="00DD586D" w:rsidRPr="000401B3">
              <w:rPr>
                <w:color w:val="FFFFFF" w:themeColor="background1"/>
                <w:sz w:val="10"/>
                <w:szCs w:val="10"/>
                <w:vertAlign w:val="subscript"/>
              </w:rPr>
              <w:t>5</w:t>
            </w:r>
            <w:r>
              <w:t xml:space="preserve">CT/STE y </w:t>
            </w:r>
            <w:r w:rsidR="00DD586D" w:rsidRPr="000401B3">
              <w:rPr>
                <w:color w:val="FFFFFF" w:themeColor="background1"/>
                <w:sz w:val="10"/>
                <w:szCs w:val="10"/>
                <w:vertAlign w:val="subscript"/>
              </w:rPr>
              <w:t>5</w:t>
            </w:r>
            <w:r>
              <w:t>CS/SSE.</w:t>
            </w:r>
          </w:p>
        </w:tc>
        <w:tc>
          <w:tcPr>
            <w:tcW w:w="1216" w:type="dxa"/>
          </w:tcPr>
          <w:p w14:paraId="6B581327" w14:textId="77777777" w:rsidR="00657D48" w:rsidRDefault="003F3EEB">
            <w:pPr>
              <w:spacing w:after="200"/>
              <w:jc w:val="center"/>
            </w:pPr>
            <w:r>
              <w:t>2</w:t>
            </w:r>
          </w:p>
        </w:tc>
      </w:tr>
      <w:tr w:rsidR="00657D48" w14:paraId="58866FE7" w14:textId="77777777">
        <w:tc>
          <w:tcPr>
            <w:tcW w:w="6711" w:type="dxa"/>
          </w:tcPr>
          <w:p w14:paraId="3468BCEB" w14:textId="02D0B379"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de las </w:t>
            </w:r>
            <w:r w:rsidR="00DD586D" w:rsidRPr="000401B3">
              <w:rPr>
                <w:color w:val="FFFFFF" w:themeColor="background1"/>
                <w:sz w:val="10"/>
                <w:szCs w:val="10"/>
                <w:vertAlign w:val="subscript"/>
              </w:rPr>
              <w:t>5</w:t>
            </w:r>
            <w:r>
              <w:t>CT/STE y CS/SSE.</w:t>
            </w:r>
          </w:p>
        </w:tc>
        <w:tc>
          <w:tcPr>
            <w:tcW w:w="1216" w:type="dxa"/>
          </w:tcPr>
          <w:p w14:paraId="31244C0E" w14:textId="77777777" w:rsidR="00657D48" w:rsidRDefault="003F3EEB">
            <w:pPr>
              <w:spacing w:after="200"/>
              <w:jc w:val="center"/>
            </w:pPr>
            <w:r>
              <w:t>3</w:t>
            </w:r>
          </w:p>
        </w:tc>
      </w:tr>
      <w:tr w:rsidR="00657D48" w14:paraId="44647A49" w14:textId="77777777">
        <w:tc>
          <w:tcPr>
            <w:tcW w:w="6711" w:type="dxa"/>
          </w:tcPr>
          <w:p w14:paraId="387FE150" w14:textId="2A06C9DB" w:rsidR="00657D48" w:rsidRDefault="003F3EEB">
            <w:pPr>
              <w:spacing w:after="200"/>
            </w:pPr>
            <w:r>
              <w:t>Equipamiento</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las </w:t>
            </w:r>
            <w:r w:rsidR="00DD586D" w:rsidRPr="000401B3">
              <w:rPr>
                <w:color w:val="FFFFFF" w:themeColor="background1"/>
                <w:sz w:val="10"/>
                <w:szCs w:val="10"/>
                <w:vertAlign w:val="subscript"/>
              </w:rPr>
              <w:t>5</w:t>
            </w:r>
            <w:r>
              <w:t xml:space="preserve">CT/STE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programación.</w:t>
            </w:r>
          </w:p>
        </w:tc>
        <w:tc>
          <w:tcPr>
            <w:tcW w:w="1216" w:type="dxa"/>
          </w:tcPr>
          <w:p w14:paraId="1CF37F39" w14:textId="77777777" w:rsidR="00657D48" w:rsidRDefault="003F3EEB">
            <w:pPr>
              <w:spacing w:after="200"/>
              <w:jc w:val="center"/>
            </w:pPr>
            <w:r>
              <w:t>3</w:t>
            </w:r>
          </w:p>
        </w:tc>
      </w:tr>
      <w:tr w:rsidR="00657D48" w14:paraId="36A9CD72" w14:textId="77777777">
        <w:tc>
          <w:tcPr>
            <w:tcW w:w="6711" w:type="dxa"/>
          </w:tcPr>
          <w:p w14:paraId="5DB40E6C" w14:textId="59520FE5" w:rsidR="00657D48" w:rsidRDefault="003F3EEB">
            <w:pPr>
              <w:spacing w:after="200"/>
            </w:pPr>
            <w:r>
              <w:t>Equipamiento</w:t>
            </w:r>
            <w:r w:rsidR="00DD586D" w:rsidRPr="000401B3">
              <w:rPr>
                <w:color w:val="FFFFFF" w:themeColor="background1"/>
                <w:sz w:val="10"/>
                <w:szCs w:val="10"/>
                <w:vertAlign w:val="subscript"/>
              </w:rPr>
              <w:t>5</w:t>
            </w:r>
            <w:r>
              <w:t xml:space="preserve"> de las </w:t>
            </w:r>
            <w:r w:rsidR="00DD586D" w:rsidRPr="000401B3">
              <w:rPr>
                <w:color w:val="FFFFFF" w:themeColor="background1"/>
                <w:sz w:val="10"/>
                <w:szCs w:val="10"/>
                <w:vertAlign w:val="subscript"/>
              </w:rPr>
              <w:t>5</w:t>
            </w:r>
            <w:r>
              <w:t xml:space="preserve">CS/SSE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programación.</w:t>
            </w:r>
          </w:p>
        </w:tc>
        <w:tc>
          <w:tcPr>
            <w:tcW w:w="1216" w:type="dxa"/>
          </w:tcPr>
          <w:p w14:paraId="5F9A1F26" w14:textId="77777777" w:rsidR="00657D48" w:rsidRDefault="003F3EEB">
            <w:pPr>
              <w:spacing w:after="200"/>
              <w:jc w:val="center"/>
            </w:pPr>
            <w:r>
              <w:t>3</w:t>
            </w:r>
          </w:p>
        </w:tc>
      </w:tr>
      <w:tr w:rsidR="00657D48" w14:paraId="6A292994" w14:textId="77777777">
        <w:tc>
          <w:tcPr>
            <w:tcW w:w="6711" w:type="dxa"/>
          </w:tcPr>
          <w:p w14:paraId="2B3B63AF" w14:textId="6E64ED21"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mejoramiento de las </w:t>
            </w:r>
            <w:r w:rsidR="00DD586D" w:rsidRPr="000401B3">
              <w:rPr>
                <w:color w:val="FFFFFF" w:themeColor="background1"/>
                <w:sz w:val="10"/>
                <w:szCs w:val="10"/>
                <w:vertAlign w:val="subscript"/>
              </w:rPr>
              <w:t>5</w:t>
            </w:r>
            <w:r>
              <w:t>plataformas aéreas</w:t>
            </w:r>
            <w:r w:rsidR="00DD586D" w:rsidRPr="000401B3">
              <w:rPr>
                <w:color w:val="FFFFFF" w:themeColor="background1"/>
                <w:sz w:val="10"/>
                <w:szCs w:val="10"/>
                <w:vertAlign w:val="subscript"/>
              </w:rPr>
              <w:t>5</w:t>
            </w:r>
            <w:r>
              <w:t xml:space="preserve"> para la </w:t>
            </w:r>
            <w:r w:rsidR="00DD586D" w:rsidRPr="000401B3">
              <w:rPr>
                <w:color w:val="FFFFFF" w:themeColor="background1"/>
                <w:sz w:val="10"/>
                <w:szCs w:val="10"/>
                <w:vertAlign w:val="subscript"/>
              </w:rPr>
              <w:t>5</w:t>
            </w:r>
            <w:r>
              <w:t xml:space="preserve">atención en </w:t>
            </w:r>
            <w:r w:rsidR="00DD586D" w:rsidRPr="000401B3">
              <w:rPr>
                <w:color w:val="FFFFFF" w:themeColor="background1"/>
                <w:sz w:val="10"/>
                <w:szCs w:val="10"/>
                <w:vertAlign w:val="subscript"/>
              </w:rPr>
              <w:t>5</w:t>
            </w:r>
            <w:r>
              <w:t xml:space="preserve">caso de </w:t>
            </w:r>
            <w:r w:rsidR="00DD586D" w:rsidRPr="000401B3">
              <w:rPr>
                <w:color w:val="FFFFFF" w:themeColor="background1"/>
                <w:sz w:val="10"/>
                <w:szCs w:val="10"/>
                <w:vertAlign w:val="subscript"/>
              </w:rPr>
              <w:t>5</w:t>
            </w:r>
            <w:r>
              <w:t xml:space="preserve">emergencias y/o </w:t>
            </w:r>
            <w:r w:rsidR="00DD586D" w:rsidRPr="000401B3">
              <w:rPr>
                <w:color w:val="FFFFFF" w:themeColor="background1"/>
                <w:sz w:val="10"/>
                <w:szCs w:val="10"/>
                <w:vertAlign w:val="subscript"/>
              </w:rPr>
              <w:t>5</w:t>
            </w:r>
            <w:r>
              <w:t>desastres.</w:t>
            </w:r>
          </w:p>
        </w:tc>
        <w:tc>
          <w:tcPr>
            <w:tcW w:w="1216" w:type="dxa"/>
          </w:tcPr>
          <w:p w14:paraId="206BFF2D" w14:textId="77777777" w:rsidR="00657D48" w:rsidRDefault="003F3EEB">
            <w:pPr>
              <w:spacing w:after="200"/>
              <w:jc w:val="center"/>
            </w:pPr>
            <w:r>
              <w:t>2</w:t>
            </w:r>
          </w:p>
        </w:tc>
      </w:tr>
      <w:tr w:rsidR="00657D48" w14:paraId="20BB43E4" w14:textId="77777777">
        <w:tc>
          <w:tcPr>
            <w:tcW w:w="6711" w:type="dxa"/>
          </w:tcPr>
          <w:p w14:paraId="482CF080" w14:textId="1088B671"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mejoramiento de la </w:t>
            </w:r>
            <w:r w:rsidR="00DD586D" w:rsidRPr="000401B3">
              <w:rPr>
                <w:color w:val="FFFFFF" w:themeColor="background1"/>
                <w:sz w:val="10"/>
                <w:szCs w:val="10"/>
                <w:vertAlign w:val="subscript"/>
              </w:rPr>
              <w:t>5</w:t>
            </w:r>
            <w:r>
              <w:t>recarga de combustible</w:t>
            </w:r>
            <w:r w:rsidR="00DD586D" w:rsidRPr="000401B3">
              <w:rPr>
                <w:color w:val="FFFFFF" w:themeColor="background1"/>
                <w:sz w:val="10"/>
                <w:szCs w:val="10"/>
                <w:vertAlign w:val="subscript"/>
              </w:rPr>
              <w:t>5</w:t>
            </w:r>
            <w:r>
              <w:t xml:space="preserve"> en las </w:t>
            </w:r>
            <w:r w:rsidR="00DD586D" w:rsidRPr="000401B3">
              <w:rPr>
                <w:color w:val="FFFFFF" w:themeColor="background1"/>
                <w:sz w:val="10"/>
                <w:szCs w:val="10"/>
                <w:vertAlign w:val="subscript"/>
              </w:rPr>
              <w:t>5</w:t>
            </w:r>
            <w:r>
              <w:t xml:space="preserve">Bases </w:t>
            </w:r>
            <w:r w:rsidR="00DD586D" w:rsidRPr="000401B3">
              <w:rPr>
                <w:color w:val="FFFFFF" w:themeColor="background1"/>
                <w:sz w:val="10"/>
                <w:szCs w:val="10"/>
                <w:vertAlign w:val="subscript"/>
              </w:rPr>
              <w:t>5</w:t>
            </w:r>
            <w:r>
              <w:t>Aéreas.</w:t>
            </w:r>
          </w:p>
        </w:tc>
        <w:tc>
          <w:tcPr>
            <w:tcW w:w="1216" w:type="dxa"/>
          </w:tcPr>
          <w:p w14:paraId="7F134141" w14:textId="77777777" w:rsidR="00657D48" w:rsidRDefault="003F3EEB">
            <w:pPr>
              <w:spacing w:after="200"/>
              <w:jc w:val="center"/>
            </w:pPr>
            <w:r>
              <w:t>2</w:t>
            </w:r>
          </w:p>
        </w:tc>
      </w:tr>
      <w:tr w:rsidR="00657D48" w14:paraId="7C1AD586" w14:textId="77777777">
        <w:tc>
          <w:tcPr>
            <w:tcW w:w="6711" w:type="dxa"/>
          </w:tcPr>
          <w:p w14:paraId="4B283D3F" w14:textId="5EA3687B" w:rsidR="00657D48" w:rsidRDefault="003F3EEB">
            <w:pPr>
              <w:spacing w:after="200"/>
            </w:pPr>
            <w:r>
              <w:t>Formulación</w:t>
            </w:r>
            <w:r w:rsidR="00DD586D" w:rsidRPr="000401B3">
              <w:rPr>
                <w:color w:val="FFFFFF" w:themeColor="background1"/>
                <w:sz w:val="10"/>
                <w:szCs w:val="10"/>
                <w:vertAlign w:val="subscript"/>
              </w:rPr>
              <w:t>5</w:t>
            </w:r>
            <w:r>
              <w:t xml:space="preserve"> y aprobación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la </w:t>
            </w:r>
            <w:r w:rsidR="00DD586D" w:rsidRPr="000401B3">
              <w:rPr>
                <w:color w:val="FFFFFF" w:themeColor="background1"/>
                <w:sz w:val="10"/>
                <w:szCs w:val="10"/>
                <w:vertAlign w:val="subscript"/>
              </w:rPr>
              <w:t>5</w:t>
            </w:r>
            <w:r>
              <w:t xml:space="preserve">construcción de </w:t>
            </w:r>
            <w:r w:rsidR="00DD586D" w:rsidRPr="000401B3">
              <w:rPr>
                <w:color w:val="FFFFFF" w:themeColor="background1"/>
                <w:sz w:val="10"/>
                <w:szCs w:val="10"/>
                <w:vertAlign w:val="subscript"/>
              </w:rPr>
              <w:t>5</w:t>
            </w:r>
            <w:r>
              <w:t xml:space="preserve">Hangares </w:t>
            </w:r>
            <w:r w:rsidR="00DD586D" w:rsidRPr="000401B3">
              <w:rPr>
                <w:color w:val="FFFFFF" w:themeColor="background1"/>
                <w:sz w:val="10"/>
                <w:szCs w:val="10"/>
                <w:vertAlign w:val="subscript"/>
              </w:rPr>
              <w:t>5</w:t>
            </w:r>
            <w:r>
              <w:t xml:space="preserve">Almacén de </w:t>
            </w:r>
            <w:r w:rsidR="00DD586D" w:rsidRPr="000401B3">
              <w:rPr>
                <w:color w:val="FFFFFF" w:themeColor="background1"/>
                <w:sz w:val="10"/>
                <w:szCs w:val="10"/>
                <w:vertAlign w:val="subscript"/>
              </w:rPr>
              <w:t>5</w:t>
            </w:r>
            <w:r>
              <w:t xml:space="preserve">ayuda </w:t>
            </w:r>
            <w:r w:rsidR="00DD586D" w:rsidRPr="000401B3">
              <w:rPr>
                <w:color w:val="FFFFFF" w:themeColor="background1"/>
                <w:sz w:val="10"/>
                <w:szCs w:val="10"/>
                <w:vertAlign w:val="subscript"/>
              </w:rPr>
              <w:t>5</w:t>
            </w:r>
            <w:r>
              <w:t xml:space="preserve">humanitaria y </w:t>
            </w:r>
            <w:r w:rsidR="00DD586D" w:rsidRPr="000401B3">
              <w:rPr>
                <w:color w:val="FFFFFF" w:themeColor="background1"/>
                <w:sz w:val="10"/>
                <w:szCs w:val="10"/>
                <w:vertAlign w:val="subscript"/>
              </w:rPr>
              <w:t>5</w:t>
            </w:r>
            <w:r>
              <w:t xml:space="preserve">GRD en </w:t>
            </w:r>
            <w:r w:rsidR="00DD586D" w:rsidRPr="000401B3">
              <w:rPr>
                <w:color w:val="FFFFFF" w:themeColor="background1"/>
                <w:sz w:val="10"/>
                <w:szCs w:val="10"/>
                <w:vertAlign w:val="subscript"/>
              </w:rPr>
              <w:t>5</w:t>
            </w:r>
            <w:r>
              <w:t xml:space="preserve">bases </w:t>
            </w:r>
            <w:r w:rsidR="00DD586D" w:rsidRPr="000401B3">
              <w:rPr>
                <w:color w:val="FFFFFF" w:themeColor="background1"/>
                <w:sz w:val="10"/>
                <w:szCs w:val="10"/>
                <w:vertAlign w:val="subscript"/>
              </w:rPr>
              <w:t>5</w:t>
            </w:r>
            <w:r>
              <w:t xml:space="preserve">aéreas y </w:t>
            </w:r>
            <w:r w:rsidR="00DD586D" w:rsidRPr="000401B3">
              <w:rPr>
                <w:color w:val="FFFFFF" w:themeColor="background1"/>
                <w:sz w:val="10"/>
                <w:szCs w:val="10"/>
                <w:vertAlign w:val="subscript"/>
              </w:rPr>
              <w:t>5</w:t>
            </w:r>
            <w:r>
              <w:t>aeropuertos.</w:t>
            </w:r>
          </w:p>
        </w:tc>
        <w:tc>
          <w:tcPr>
            <w:tcW w:w="1216" w:type="dxa"/>
          </w:tcPr>
          <w:p w14:paraId="61C2754C" w14:textId="77777777" w:rsidR="00657D48" w:rsidRDefault="003F3EEB">
            <w:pPr>
              <w:spacing w:after="200"/>
              <w:jc w:val="center"/>
            </w:pPr>
            <w:r>
              <w:t>2</w:t>
            </w:r>
          </w:p>
        </w:tc>
      </w:tr>
      <w:tr w:rsidR="00657D48" w14:paraId="7C1C0A09" w14:textId="77777777">
        <w:tc>
          <w:tcPr>
            <w:tcW w:w="6711" w:type="dxa"/>
          </w:tcPr>
          <w:p w14:paraId="2C7E6B9E" w14:textId="4F6C13A1" w:rsidR="00657D48" w:rsidRDefault="003F3EEB">
            <w:pPr>
              <w:spacing w:after="200"/>
            </w:pPr>
            <w:r>
              <w:t>Formulación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de las 6 </w:t>
            </w:r>
            <w:r w:rsidR="00DD586D" w:rsidRPr="000401B3">
              <w:rPr>
                <w:color w:val="FFFFFF" w:themeColor="background1"/>
                <w:sz w:val="10"/>
                <w:szCs w:val="10"/>
                <w:vertAlign w:val="subscript"/>
              </w:rPr>
              <w:t>5</w:t>
            </w:r>
            <w:r>
              <w:t xml:space="preserve">brigadas </w:t>
            </w:r>
            <w:r w:rsidR="00DD586D" w:rsidRPr="000401B3">
              <w:rPr>
                <w:color w:val="FFFFFF" w:themeColor="background1"/>
                <w:sz w:val="10"/>
                <w:szCs w:val="10"/>
                <w:vertAlign w:val="subscript"/>
              </w:rPr>
              <w:t>5</w:t>
            </w:r>
            <w:r>
              <w:t xml:space="preserve">médicas </w:t>
            </w:r>
            <w:r w:rsidR="00DD586D" w:rsidRPr="000401B3">
              <w:rPr>
                <w:color w:val="FFFFFF" w:themeColor="background1"/>
                <w:sz w:val="10"/>
                <w:szCs w:val="10"/>
                <w:vertAlign w:val="subscript"/>
              </w:rPr>
              <w:t>5</w:t>
            </w:r>
            <w:r>
              <w:t>tácticas.</w:t>
            </w:r>
          </w:p>
        </w:tc>
        <w:tc>
          <w:tcPr>
            <w:tcW w:w="1216" w:type="dxa"/>
          </w:tcPr>
          <w:p w14:paraId="08F362A5" w14:textId="77777777" w:rsidR="00657D48" w:rsidRDefault="003F3EEB">
            <w:pPr>
              <w:spacing w:after="200"/>
              <w:jc w:val="center"/>
            </w:pPr>
            <w:r>
              <w:t>2</w:t>
            </w:r>
          </w:p>
        </w:tc>
      </w:tr>
      <w:tr w:rsidR="00657D48" w14:paraId="3D27CFA8" w14:textId="77777777">
        <w:trPr>
          <w:trHeight w:val="543"/>
        </w:trPr>
        <w:tc>
          <w:tcPr>
            <w:tcW w:w="6711" w:type="dxa"/>
          </w:tcPr>
          <w:p w14:paraId="5ABA0104" w14:textId="678FD983" w:rsidR="00657D48" w:rsidRDefault="003F3EEB">
            <w:pPr>
              <w:spacing w:after="200"/>
            </w:pPr>
            <w:r>
              <w:t>Equipamiento</w:t>
            </w:r>
            <w:r w:rsidR="00DD586D" w:rsidRPr="000401B3">
              <w:rPr>
                <w:color w:val="FFFFFF" w:themeColor="background1"/>
                <w:sz w:val="10"/>
                <w:szCs w:val="10"/>
                <w:vertAlign w:val="subscript"/>
              </w:rPr>
              <w:t>5</w:t>
            </w:r>
            <w:r>
              <w:t xml:space="preserve"> de las 6 </w:t>
            </w:r>
            <w:r w:rsidR="00DD586D" w:rsidRPr="000401B3">
              <w:rPr>
                <w:color w:val="FFFFFF" w:themeColor="background1"/>
                <w:sz w:val="10"/>
                <w:szCs w:val="10"/>
                <w:vertAlign w:val="subscript"/>
              </w:rPr>
              <w:t>5</w:t>
            </w:r>
            <w:r>
              <w:t xml:space="preserve">brigadas </w:t>
            </w:r>
            <w:r w:rsidR="00DD586D" w:rsidRPr="000401B3">
              <w:rPr>
                <w:color w:val="FFFFFF" w:themeColor="background1"/>
                <w:sz w:val="10"/>
                <w:szCs w:val="10"/>
                <w:vertAlign w:val="subscript"/>
              </w:rPr>
              <w:t>5</w:t>
            </w:r>
            <w:r>
              <w:t xml:space="preserve">médicas- </w:t>
            </w:r>
            <w:r w:rsidR="00DD586D" w:rsidRPr="000401B3">
              <w:rPr>
                <w:color w:val="FFFFFF" w:themeColor="background1"/>
                <w:sz w:val="10"/>
                <w:szCs w:val="10"/>
                <w:vertAlign w:val="subscript"/>
              </w:rPr>
              <w:t>5</w:t>
            </w:r>
            <w:r>
              <w:t xml:space="preserve">tácticas </w:t>
            </w:r>
            <w:r w:rsidR="00DD586D" w:rsidRPr="000401B3">
              <w:rPr>
                <w:color w:val="FFFFFF" w:themeColor="background1"/>
                <w:sz w:val="10"/>
                <w:szCs w:val="10"/>
                <w:vertAlign w:val="subscript"/>
              </w:rPr>
              <w:t>5</w:t>
            </w:r>
            <w:r>
              <w:t xml:space="preserve">según </w:t>
            </w:r>
            <w:r w:rsidR="00DD586D" w:rsidRPr="000401B3">
              <w:rPr>
                <w:color w:val="FFFFFF" w:themeColor="background1"/>
                <w:sz w:val="10"/>
                <w:szCs w:val="10"/>
                <w:vertAlign w:val="subscript"/>
              </w:rPr>
              <w:t>5</w:t>
            </w:r>
            <w:r>
              <w:t xml:space="preserve">programación. </w:t>
            </w:r>
          </w:p>
        </w:tc>
        <w:tc>
          <w:tcPr>
            <w:tcW w:w="1216" w:type="dxa"/>
          </w:tcPr>
          <w:p w14:paraId="2CC5D923" w14:textId="77777777" w:rsidR="00657D48" w:rsidRDefault="003F3EEB">
            <w:pPr>
              <w:spacing w:after="200"/>
              <w:jc w:val="center"/>
            </w:pPr>
            <w:r>
              <w:t>3</w:t>
            </w:r>
          </w:p>
        </w:tc>
      </w:tr>
      <w:tr w:rsidR="00657D48" w14:paraId="09A4CE79" w14:textId="77777777">
        <w:tc>
          <w:tcPr>
            <w:tcW w:w="6711" w:type="dxa"/>
          </w:tcPr>
          <w:p w14:paraId="3B5645DC" w14:textId="120C60A6"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equipamiento de la </w:t>
            </w:r>
            <w:r w:rsidR="00DD586D" w:rsidRPr="000401B3">
              <w:rPr>
                <w:color w:val="FFFFFF" w:themeColor="background1"/>
                <w:sz w:val="10"/>
                <w:szCs w:val="10"/>
                <w:vertAlign w:val="subscript"/>
              </w:rPr>
              <w:t>5</w:t>
            </w:r>
            <w:r>
              <w:t>UEC.</w:t>
            </w:r>
          </w:p>
        </w:tc>
        <w:tc>
          <w:tcPr>
            <w:tcW w:w="1216" w:type="dxa"/>
          </w:tcPr>
          <w:p w14:paraId="77C2DCFD" w14:textId="77777777" w:rsidR="00657D48" w:rsidRDefault="003F3EEB">
            <w:pPr>
              <w:spacing w:after="200"/>
              <w:jc w:val="center"/>
            </w:pPr>
            <w:r>
              <w:t>2</w:t>
            </w:r>
          </w:p>
        </w:tc>
      </w:tr>
      <w:tr w:rsidR="00657D48" w14:paraId="41718760" w14:textId="77777777">
        <w:tc>
          <w:tcPr>
            <w:tcW w:w="6711" w:type="dxa"/>
          </w:tcPr>
          <w:p w14:paraId="1291B57A" w14:textId="26F0EB8C" w:rsidR="00657D48" w:rsidRDefault="003F3EEB">
            <w:pPr>
              <w:spacing w:after="200"/>
            </w:pPr>
            <w:r>
              <w:t>Equipamiento</w:t>
            </w:r>
            <w:r w:rsidR="00DD586D" w:rsidRPr="000401B3">
              <w:rPr>
                <w:color w:val="FFFFFF" w:themeColor="background1"/>
                <w:sz w:val="10"/>
                <w:szCs w:val="10"/>
                <w:vertAlign w:val="subscript"/>
              </w:rPr>
              <w:t>5</w:t>
            </w:r>
            <w:r>
              <w:t xml:space="preserve"> </w:t>
            </w:r>
            <w:r w:rsidR="00DD586D" w:rsidRPr="000401B3">
              <w:rPr>
                <w:color w:val="FFFFFF" w:themeColor="background1"/>
                <w:sz w:val="10"/>
                <w:szCs w:val="10"/>
                <w:vertAlign w:val="subscript"/>
              </w:rPr>
              <w:t>5</w:t>
            </w:r>
            <w:r>
              <w:t xml:space="preserve">para la </w:t>
            </w:r>
            <w:r w:rsidR="00DD586D" w:rsidRPr="000401B3">
              <w:rPr>
                <w:color w:val="FFFFFF" w:themeColor="background1"/>
                <w:sz w:val="10"/>
                <w:szCs w:val="10"/>
                <w:vertAlign w:val="subscript"/>
              </w:rPr>
              <w:t>5</w:t>
            </w:r>
            <w:r>
              <w:t xml:space="preserve">UEC </w:t>
            </w:r>
            <w:r w:rsidR="00DD586D" w:rsidRPr="000401B3">
              <w:rPr>
                <w:color w:val="FFFFFF" w:themeColor="background1"/>
                <w:sz w:val="10"/>
                <w:szCs w:val="10"/>
                <w:vertAlign w:val="subscript"/>
              </w:rPr>
              <w:t>5</w:t>
            </w:r>
            <w:r>
              <w:t xml:space="preserve">según la </w:t>
            </w:r>
            <w:r w:rsidR="00DD586D" w:rsidRPr="000401B3">
              <w:rPr>
                <w:color w:val="FFFFFF" w:themeColor="background1"/>
                <w:sz w:val="10"/>
                <w:szCs w:val="10"/>
                <w:vertAlign w:val="subscript"/>
              </w:rPr>
              <w:t>5</w:t>
            </w:r>
            <w:r>
              <w:t xml:space="preserve">programación.  </w:t>
            </w:r>
          </w:p>
        </w:tc>
        <w:tc>
          <w:tcPr>
            <w:tcW w:w="1216" w:type="dxa"/>
          </w:tcPr>
          <w:p w14:paraId="7AEBC1AA" w14:textId="77777777" w:rsidR="00657D48" w:rsidRDefault="003F3EEB">
            <w:pPr>
              <w:spacing w:after="200"/>
              <w:jc w:val="center"/>
            </w:pPr>
            <w:r>
              <w:t>3</w:t>
            </w:r>
          </w:p>
        </w:tc>
      </w:tr>
      <w:tr w:rsidR="00657D48" w14:paraId="105C9E20" w14:textId="77777777">
        <w:tc>
          <w:tcPr>
            <w:tcW w:w="6711" w:type="dxa"/>
          </w:tcPr>
          <w:p w14:paraId="3B634804" w14:textId="1A3BCB94" w:rsidR="00657D48" w:rsidRDefault="003F3EEB">
            <w:pPr>
              <w:spacing w:after="200"/>
            </w:pPr>
            <w:r>
              <w:t>Gestión</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terreno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Polígono </w:t>
            </w:r>
            <w:r w:rsidR="00DD586D" w:rsidRPr="000401B3">
              <w:rPr>
                <w:color w:val="FFFFFF" w:themeColor="background1"/>
                <w:sz w:val="10"/>
                <w:szCs w:val="10"/>
                <w:vertAlign w:val="subscript"/>
              </w:rPr>
              <w:t>5</w:t>
            </w:r>
            <w:r>
              <w:t xml:space="preserve">de </w:t>
            </w:r>
            <w:r w:rsidR="00DD586D" w:rsidRPr="000401B3">
              <w:rPr>
                <w:color w:val="FFFFFF" w:themeColor="background1"/>
                <w:sz w:val="10"/>
                <w:szCs w:val="10"/>
                <w:vertAlign w:val="subscript"/>
              </w:rPr>
              <w:t>5</w:t>
            </w:r>
            <w:r>
              <w:t xml:space="preserve">entrenamiento de las </w:t>
            </w:r>
            <w:r w:rsidR="00DD586D" w:rsidRPr="000401B3">
              <w:rPr>
                <w:color w:val="FFFFFF" w:themeColor="background1"/>
                <w:sz w:val="10"/>
                <w:szCs w:val="10"/>
                <w:vertAlign w:val="subscript"/>
              </w:rPr>
              <w:t>5</w:t>
            </w:r>
            <w:r>
              <w:t>CIRD.</w:t>
            </w:r>
          </w:p>
        </w:tc>
        <w:tc>
          <w:tcPr>
            <w:tcW w:w="1216" w:type="dxa"/>
          </w:tcPr>
          <w:p w14:paraId="6ACE88A2" w14:textId="77777777" w:rsidR="00657D48" w:rsidRDefault="003F3EEB">
            <w:pPr>
              <w:spacing w:after="200"/>
              <w:jc w:val="center"/>
            </w:pPr>
            <w:r>
              <w:t>2</w:t>
            </w:r>
          </w:p>
        </w:tc>
      </w:tr>
      <w:tr w:rsidR="00657D48" w14:paraId="063132F1" w14:textId="77777777">
        <w:tc>
          <w:tcPr>
            <w:tcW w:w="6711" w:type="dxa"/>
          </w:tcPr>
          <w:p w14:paraId="4C2ADB0F" w14:textId="1151889C" w:rsidR="00657D48" w:rsidRDefault="003F3EEB">
            <w:pPr>
              <w:spacing w:after="200"/>
            </w:pPr>
            <w:r>
              <w:t>Formulación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aprobación del </w:t>
            </w:r>
            <w:r w:rsidR="00DD586D" w:rsidRPr="000401B3">
              <w:rPr>
                <w:color w:val="FFFFFF" w:themeColor="background1"/>
                <w:sz w:val="10"/>
                <w:szCs w:val="10"/>
                <w:vertAlign w:val="subscript"/>
              </w:rPr>
              <w:t>5</w:t>
            </w:r>
            <w:r>
              <w:t xml:space="preserve">PIP </w:t>
            </w:r>
            <w:r w:rsidR="00DD586D" w:rsidRPr="000401B3">
              <w:rPr>
                <w:color w:val="FFFFFF" w:themeColor="background1"/>
                <w:sz w:val="10"/>
                <w:szCs w:val="10"/>
                <w:vertAlign w:val="subscript"/>
              </w:rPr>
              <w:t>5</w:t>
            </w:r>
            <w:r>
              <w:t xml:space="preserve">para el </w:t>
            </w:r>
            <w:r w:rsidR="00DD586D" w:rsidRPr="000401B3">
              <w:rPr>
                <w:color w:val="FFFFFF" w:themeColor="background1"/>
                <w:sz w:val="10"/>
                <w:szCs w:val="10"/>
                <w:vertAlign w:val="subscript"/>
              </w:rPr>
              <w:t>5</w:t>
            </w:r>
            <w:r>
              <w:t xml:space="preserve">Polígono de </w:t>
            </w:r>
            <w:r w:rsidR="00DD586D" w:rsidRPr="000401B3">
              <w:rPr>
                <w:color w:val="FFFFFF" w:themeColor="background1"/>
                <w:sz w:val="10"/>
                <w:szCs w:val="10"/>
                <w:vertAlign w:val="subscript"/>
              </w:rPr>
              <w:t>5</w:t>
            </w:r>
            <w:r>
              <w:t xml:space="preserve">entrenamiento de las </w:t>
            </w:r>
            <w:r w:rsidR="00DD586D" w:rsidRPr="000401B3">
              <w:rPr>
                <w:color w:val="FFFFFF" w:themeColor="background1"/>
                <w:sz w:val="10"/>
                <w:szCs w:val="10"/>
                <w:vertAlign w:val="subscript"/>
              </w:rPr>
              <w:t>5</w:t>
            </w:r>
            <w:r>
              <w:t>CIRD.</w:t>
            </w:r>
          </w:p>
        </w:tc>
        <w:tc>
          <w:tcPr>
            <w:tcW w:w="1216" w:type="dxa"/>
          </w:tcPr>
          <w:p w14:paraId="2322B973" w14:textId="77777777" w:rsidR="00657D48" w:rsidRDefault="003F3EEB">
            <w:pPr>
              <w:spacing w:after="200"/>
              <w:jc w:val="center"/>
            </w:pPr>
            <w:r>
              <w:t>2</w:t>
            </w:r>
          </w:p>
        </w:tc>
      </w:tr>
      <w:tr w:rsidR="00657D48" w14:paraId="4D76209D" w14:textId="77777777">
        <w:tc>
          <w:tcPr>
            <w:tcW w:w="6711" w:type="dxa"/>
          </w:tcPr>
          <w:p w14:paraId="287C09F0" w14:textId="150F9719" w:rsidR="00657D48" w:rsidRDefault="003F3EEB">
            <w:pPr>
              <w:spacing w:after="200"/>
            </w:pPr>
            <w:r>
              <w:t>Equipamiento</w:t>
            </w:r>
            <w:r w:rsidR="00DD586D" w:rsidRPr="000401B3">
              <w:rPr>
                <w:color w:val="FFFFFF" w:themeColor="background1"/>
                <w:sz w:val="10"/>
                <w:szCs w:val="10"/>
                <w:vertAlign w:val="subscript"/>
              </w:rPr>
              <w:t>5</w:t>
            </w:r>
            <w:r>
              <w:t xml:space="preserve"> para el </w:t>
            </w:r>
            <w:r w:rsidR="00DD586D" w:rsidRPr="000401B3">
              <w:rPr>
                <w:color w:val="FFFFFF" w:themeColor="background1"/>
                <w:sz w:val="10"/>
                <w:szCs w:val="10"/>
                <w:vertAlign w:val="subscript"/>
              </w:rPr>
              <w:t>5</w:t>
            </w:r>
            <w:r>
              <w:t xml:space="preserve">Polígono </w:t>
            </w:r>
            <w:r w:rsidR="00DD586D" w:rsidRPr="000401B3">
              <w:rPr>
                <w:color w:val="FFFFFF" w:themeColor="background1"/>
                <w:sz w:val="10"/>
                <w:szCs w:val="10"/>
                <w:vertAlign w:val="subscript"/>
              </w:rPr>
              <w:t>5</w:t>
            </w:r>
            <w:r>
              <w:t xml:space="preserve">de </w:t>
            </w:r>
            <w:r w:rsidR="00DD586D" w:rsidRPr="000401B3">
              <w:rPr>
                <w:color w:val="FFFFFF" w:themeColor="background1"/>
                <w:sz w:val="10"/>
                <w:szCs w:val="10"/>
                <w:vertAlign w:val="subscript"/>
              </w:rPr>
              <w:t>5</w:t>
            </w:r>
            <w:r>
              <w:t xml:space="preserve">entrenamiento </w:t>
            </w:r>
            <w:r w:rsidR="00DD586D" w:rsidRPr="000401B3">
              <w:rPr>
                <w:color w:val="FFFFFF" w:themeColor="background1"/>
                <w:sz w:val="10"/>
                <w:szCs w:val="10"/>
                <w:vertAlign w:val="subscript"/>
              </w:rPr>
              <w:t>5</w:t>
            </w:r>
            <w:r>
              <w:t xml:space="preserve">de las </w:t>
            </w:r>
            <w:r w:rsidR="00DD586D" w:rsidRPr="000401B3">
              <w:rPr>
                <w:color w:val="FFFFFF" w:themeColor="background1"/>
                <w:sz w:val="10"/>
                <w:szCs w:val="10"/>
                <w:vertAlign w:val="subscript"/>
              </w:rPr>
              <w:t>5</w:t>
            </w:r>
            <w:r>
              <w:t xml:space="preserve">CIRD </w:t>
            </w:r>
            <w:r w:rsidR="00DD586D" w:rsidRPr="000401B3">
              <w:rPr>
                <w:color w:val="FFFFFF" w:themeColor="background1"/>
                <w:sz w:val="10"/>
                <w:szCs w:val="10"/>
                <w:vertAlign w:val="subscript"/>
              </w:rPr>
              <w:t>5</w:t>
            </w:r>
            <w:r>
              <w:t>según programación.</w:t>
            </w:r>
          </w:p>
        </w:tc>
        <w:tc>
          <w:tcPr>
            <w:tcW w:w="1216" w:type="dxa"/>
          </w:tcPr>
          <w:p w14:paraId="3996137B" w14:textId="77777777" w:rsidR="00657D48" w:rsidRDefault="003F3EEB">
            <w:pPr>
              <w:spacing w:after="200"/>
              <w:jc w:val="center"/>
            </w:pPr>
            <w:r>
              <w:t>3</w:t>
            </w:r>
          </w:p>
        </w:tc>
      </w:tr>
      <w:tr w:rsidR="00657D48" w14:paraId="11BC80DF" w14:textId="77777777">
        <w:tc>
          <w:tcPr>
            <w:tcW w:w="6711" w:type="dxa"/>
          </w:tcPr>
          <w:p w14:paraId="47CDF316" w14:textId="65285B06" w:rsidR="00657D48" w:rsidRDefault="003F3EEB">
            <w:pPr>
              <w:spacing w:after="200"/>
            </w:pPr>
            <w:r>
              <w:t>Fortalecimiento</w:t>
            </w:r>
            <w:r w:rsidR="00DD586D" w:rsidRPr="000401B3">
              <w:rPr>
                <w:color w:val="FFFFFF" w:themeColor="background1"/>
                <w:sz w:val="10"/>
                <w:szCs w:val="10"/>
                <w:vertAlign w:val="subscript"/>
              </w:rPr>
              <w:t>5</w:t>
            </w:r>
            <w:r>
              <w:t xml:space="preserve"> del </w:t>
            </w:r>
            <w:r w:rsidR="00DD586D" w:rsidRPr="000401B3">
              <w:rPr>
                <w:color w:val="FFFFFF" w:themeColor="background1"/>
                <w:sz w:val="10"/>
                <w:szCs w:val="10"/>
                <w:vertAlign w:val="subscript"/>
              </w:rPr>
              <w:t>5</w:t>
            </w:r>
            <w:r>
              <w:t xml:space="preserve">equipamiento </w:t>
            </w:r>
            <w:r w:rsidR="00DD586D" w:rsidRPr="000401B3">
              <w:rPr>
                <w:color w:val="FFFFFF" w:themeColor="background1"/>
                <w:sz w:val="10"/>
                <w:szCs w:val="10"/>
                <w:vertAlign w:val="subscript"/>
              </w:rPr>
              <w:t>5</w:t>
            </w:r>
            <w:r>
              <w:t xml:space="preserve">del </w:t>
            </w:r>
            <w:r w:rsidR="00DD586D" w:rsidRPr="000401B3">
              <w:rPr>
                <w:color w:val="FFFFFF" w:themeColor="background1"/>
                <w:sz w:val="10"/>
                <w:szCs w:val="10"/>
                <w:vertAlign w:val="subscript"/>
              </w:rPr>
              <w:t>5</w:t>
            </w:r>
            <w:r>
              <w:t>COES-MINDEF.</w:t>
            </w:r>
          </w:p>
        </w:tc>
        <w:tc>
          <w:tcPr>
            <w:tcW w:w="1216" w:type="dxa"/>
          </w:tcPr>
          <w:p w14:paraId="42F37AD8" w14:textId="77777777" w:rsidR="00657D48" w:rsidRDefault="003F3EEB">
            <w:pPr>
              <w:spacing w:after="200"/>
              <w:jc w:val="center"/>
            </w:pPr>
            <w:r>
              <w:t>1</w:t>
            </w:r>
          </w:p>
        </w:tc>
      </w:tr>
      <w:tr w:rsidR="00657D48" w14:paraId="6A4259AD" w14:textId="77777777">
        <w:tc>
          <w:tcPr>
            <w:tcW w:w="7927" w:type="dxa"/>
            <w:gridSpan w:val="2"/>
          </w:tcPr>
          <w:p w14:paraId="07A89AAB" w14:textId="569D76D3" w:rsidR="00657D48" w:rsidRDefault="00DD586D">
            <w:pPr>
              <w:spacing w:after="200"/>
              <w:jc w:val="center"/>
              <w:rPr>
                <w:b/>
              </w:rPr>
            </w:pPr>
            <w:r w:rsidRPr="000401B3">
              <w:rPr>
                <w:color w:val="FFFFFF" w:themeColor="background1"/>
                <w:sz w:val="10"/>
                <w:szCs w:val="10"/>
                <w:vertAlign w:val="subscript"/>
              </w:rPr>
              <w:t>5</w:t>
            </w:r>
            <w:r w:rsidR="003F3EEB">
              <w:rPr>
                <w:b/>
              </w:rPr>
              <w:t xml:space="preserve">Gestión de </w:t>
            </w:r>
            <w:r w:rsidRPr="000401B3">
              <w:rPr>
                <w:color w:val="FFFFFF" w:themeColor="background1"/>
                <w:sz w:val="10"/>
                <w:szCs w:val="10"/>
                <w:vertAlign w:val="subscript"/>
              </w:rPr>
              <w:t>5</w:t>
            </w:r>
            <w:r w:rsidR="003F3EEB">
              <w:rPr>
                <w:b/>
              </w:rPr>
              <w:t xml:space="preserve">Recursos </w:t>
            </w:r>
            <w:r w:rsidRPr="000401B3">
              <w:rPr>
                <w:color w:val="FFFFFF" w:themeColor="background1"/>
                <w:sz w:val="10"/>
                <w:szCs w:val="10"/>
                <w:vertAlign w:val="subscript"/>
              </w:rPr>
              <w:t>5</w:t>
            </w:r>
            <w:r w:rsidR="003F3EEB">
              <w:rPr>
                <w:b/>
              </w:rPr>
              <w:t xml:space="preserve">para la </w:t>
            </w:r>
            <w:r w:rsidRPr="000401B3">
              <w:rPr>
                <w:color w:val="FFFFFF" w:themeColor="background1"/>
                <w:sz w:val="10"/>
                <w:szCs w:val="10"/>
                <w:vertAlign w:val="subscript"/>
              </w:rPr>
              <w:t>5</w:t>
            </w:r>
            <w:r w:rsidR="003F3EEB">
              <w:rPr>
                <w:b/>
              </w:rPr>
              <w:t>Respuesta</w:t>
            </w:r>
          </w:p>
        </w:tc>
      </w:tr>
      <w:tr w:rsidR="00657D48" w14:paraId="2CD715EE" w14:textId="77777777">
        <w:tc>
          <w:tcPr>
            <w:tcW w:w="6711" w:type="dxa"/>
          </w:tcPr>
          <w:p w14:paraId="0E772D99" w14:textId="71E471B0" w:rsidR="00657D48" w:rsidRDefault="00DD586D">
            <w:pPr>
              <w:spacing w:after="200"/>
              <w:jc w:val="center"/>
            </w:pPr>
            <w:r w:rsidRPr="000401B3">
              <w:rPr>
                <w:color w:val="FFFFFF" w:themeColor="background1"/>
                <w:sz w:val="10"/>
                <w:szCs w:val="10"/>
                <w:vertAlign w:val="subscript"/>
              </w:rPr>
              <w:t>5</w:t>
            </w:r>
            <w:r w:rsidR="003F3EEB">
              <w:rPr>
                <w:b/>
              </w:rPr>
              <w:t>Actividades</w:t>
            </w:r>
          </w:p>
        </w:tc>
        <w:tc>
          <w:tcPr>
            <w:tcW w:w="1216" w:type="dxa"/>
          </w:tcPr>
          <w:p w14:paraId="0D1D01B4" w14:textId="77777777" w:rsidR="00657D48" w:rsidRDefault="003F3EEB">
            <w:pPr>
              <w:spacing w:after="200"/>
            </w:pPr>
            <w:r>
              <w:rPr>
                <w:b/>
              </w:rPr>
              <w:t>Prioridad</w:t>
            </w:r>
          </w:p>
        </w:tc>
      </w:tr>
      <w:tr w:rsidR="00657D48" w14:paraId="530E4D95" w14:textId="77777777">
        <w:tc>
          <w:tcPr>
            <w:tcW w:w="6711" w:type="dxa"/>
          </w:tcPr>
          <w:p w14:paraId="5271267F" w14:textId="7388CC50" w:rsidR="00657D48" w:rsidRDefault="003F3EEB">
            <w:pPr>
              <w:spacing w:after="200"/>
            </w:pPr>
            <w:r>
              <w:t>Ejecución</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recursos </w:t>
            </w:r>
            <w:r w:rsidR="00DD586D" w:rsidRPr="000401B3">
              <w:rPr>
                <w:color w:val="FFFFFF" w:themeColor="background1"/>
                <w:sz w:val="10"/>
                <w:szCs w:val="10"/>
                <w:vertAlign w:val="subscript"/>
              </w:rPr>
              <w:t>5</w:t>
            </w:r>
            <w:r>
              <w:t xml:space="preserve">presupuestales </w:t>
            </w:r>
            <w:r w:rsidR="00DD586D" w:rsidRPr="000401B3">
              <w:rPr>
                <w:color w:val="FFFFFF" w:themeColor="background1"/>
                <w:sz w:val="10"/>
                <w:szCs w:val="10"/>
                <w:vertAlign w:val="subscript"/>
              </w:rPr>
              <w:t>5</w:t>
            </w:r>
            <w:r>
              <w:t xml:space="preserve">para la </w:t>
            </w:r>
            <w:r w:rsidR="00DD586D" w:rsidRPr="000401B3">
              <w:rPr>
                <w:color w:val="FFFFFF" w:themeColor="background1"/>
                <w:sz w:val="10"/>
                <w:szCs w:val="10"/>
                <w:vertAlign w:val="subscript"/>
              </w:rPr>
              <w:t>5</w:t>
            </w:r>
            <w:r>
              <w:t xml:space="preserve">respuesta en las </w:t>
            </w:r>
            <w:r w:rsidR="00DD586D" w:rsidRPr="000401B3">
              <w:rPr>
                <w:color w:val="FFFFFF" w:themeColor="background1"/>
                <w:sz w:val="10"/>
                <w:szCs w:val="10"/>
                <w:vertAlign w:val="subscript"/>
              </w:rPr>
              <w:t>5</w:t>
            </w:r>
            <w:r>
              <w:t xml:space="preserve">partidas </w:t>
            </w:r>
            <w:r w:rsidR="00DD586D" w:rsidRPr="000401B3">
              <w:rPr>
                <w:color w:val="FFFFFF" w:themeColor="background1"/>
                <w:sz w:val="10"/>
                <w:szCs w:val="10"/>
                <w:vertAlign w:val="subscript"/>
              </w:rPr>
              <w:t>5</w:t>
            </w:r>
            <w:r>
              <w:t xml:space="preserve">internas del </w:t>
            </w:r>
            <w:r w:rsidR="00DD586D" w:rsidRPr="000401B3">
              <w:rPr>
                <w:color w:val="FFFFFF" w:themeColor="background1"/>
                <w:sz w:val="10"/>
                <w:szCs w:val="10"/>
                <w:vertAlign w:val="subscript"/>
              </w:rPr>
              <w:t>5</w:t>
            </w:r>
            <w:r>
              <w:t xml:space="preserve">Sector. </w:t>
            </w:r>
          </w:p>
        </w:tc>
        <w:tc>
          <w:tcPr>
            <w:tcW w:w="1216" w:type="dxa"/>
          </w:tcPr>
          <w:p w14:paraId="59DECA93" w14:textId="77777777" w:rsidR="00657D48" w:rsidRDefault="003F3EEB">
            <w:pPr>
              <w:spacing w:after="200"/>
              <w:jc w:val="center"/>
            </w:pPr>
            <w:r>
              <w:t>1</w:t>
            </w:r>
          </w:p>
        </w:tc>
      </w:tr>
      <w:tr w:rsidR="00657D48" w14:paraId="353A37CB" w14:textId="77777777">
        <w:tc>
          <w:tcPr>
            <w:tcW w:w="6711" w:type="dxa"/>
          </w:tcPr>
          <w:p w14:paraId="66C32159" w14:textId="79382E08" w:rsidR="00657D48" w:rsidRDefault="003F3EEB">
            <w:pPr>
              <w:spacing w:after="200"/>
            </w:pPr>
            <w:r>
              <w:lastRenderedPageBreak/>
              <w:t>Priorización</w:t>
            </w:r>
            <w:r w:rsidR="00DD586D" w:rsidRPr="000401B3">
              <w:rPr>
                <w:color w:val="FFFFFF" w:themeColor="background1"/>
                <w:sz w:val="10"/>
                <w:szCs w:val="10"/>
                <w:vertAlign w:val="subscript"/>
              </w:rPr>
              <w:t>5</w:t>
            </w:r>
            <w:r>
              <w:t xml:space="preserve"> de </w:t>
            </w:r>
            <w:r w:rsidR="00DD586D" w:rsidRPr="000401B3">
              <w:rPr>
                <w:color w:val="FFFFFF" w:themeColor="background1"/>
                <w:sz w:val="10"/>
                <w:szCs w:val="10"/>
                <w:vertAlign w:val="subscript"/>
              </w:rPr>
              <w:t>5</w:t>
            </w:r>
            <w:r>
              <w:t xml:space="preserve">recursos </w:t>
            </w:r>
            <w:r w:rsidR="00DD586D" w:rsidRPr="000401B3">
              <w:rPr>
                <w:color w:val="FFFFFF" w:themeColor="background1"/>
                <w:sz w:val="10"/>
                <w:szCs w:val="10"/>
                <w:vertAlign w:val="subscript"/>
              </w:rPr>
              <w:t>5</w:t>
            </w:r>
            <w:r>
              <w:t xml:space="preserve">presupuestarios </w:t>
            </w:r>
            <w:r w:rsidR="00DD586D" w:rsidRPr="000401B3">
              <w:rPr>
                <w:color w:val="FFFFFF" w:themeColor="background1"/>
                <w:sz w:val="10"/>
                <w:szCs w:val="10"/>
                <w:vertAlign w:val="subscript"/>
              </w:rPr>
              <w:t>5</w:t>
            </w:r>
            <w:r>
              <w:t xml:space="preserve">incluidos en el </w:t>
            </w:r>
            <w:r w:rsidR="00DD586D" w:rsidRPr="000401B3">
              <w:rPr>
                <w:color w:val="FFFFFF" w:themeColor="background1"/>
                <w:sz w:val="10"/>
                <w:szCs w:val="10"/>
                <w:vertAlign w:val="subscript"/>
              </w:rPr>
              <w:t>5</w:t>
            </w:r>
            <w:r>
              <w:t xml:space="preserve">POI </w:t>
            </w:r>
            <w:r w:rsidR="00DD586D" w:rsidRPr="000401B3">
              <w:rPr>
                <w:color w:val="FFFFFF" w:themeColor="background1"/>
                <w:sz w:val="10"/>
                <w:szCs w:val="10"/>
                <w:vertAlign w:val="subscript"/>
              </w:rPr>
              <w:t>5</w:t>
            </w:r>
            <w:r>
              <w:t xml:space="preserve">para </w:t>
            </w:r>
            <w:r w:rsidR="00DD586D" w:rsidRPr="000401B3">
              <w:rPr>
                <w:color w:val="FFFFFF" w:themeColor="background1"/>
                <w:sz w:val="10"/>
                <w:szCs w:val="10"/>
                <w:vertAlign w:val="subscript"/>
              </w:rPr>
              <w:t>5</w:t>
            </w:r>
            <w:r>
              <w:t xml:space="preserve">implementar el </w:t>
            </w:r>
            <w:r w:rsidR="00DD586D" w:rsidRPr="000401B3">
              <w:rPr>
                <w:color w:val="FFFFFF" w:themeColor="background1"/>
                <w:sz w:val="10"/>
                <w:szCs w:val="10"/>
                <w:vertAlign w:val="subscript"/>
              </w:rPr>
              <w:t>5</w:t>
            </w:r>
            <w:r>
              <w:t xml:space="preserve">Plan de </w:t>
            </w:r>
            <w:r w:rsidR="00DD586D" w:rsidRPr="000401B3">
              <w:rPr>
                <w:color w:val="FFFFFF" w:themeColor="background1"/>
                <w:sz w:val="10"/>
                <w:szCs w:val="10"/>
                <w:vertAlign w:val="subscript"/>
              </w:rPr>
              <w:t>5</w:t>
            </w:r>
            <w:r>
              <w:t xml:space="preserve">Preparación del </w:t>
            </w:r>
            <w:r w:rsidR="00DD586D" w:rsidRPr="000401B3">
              <w:rPr>
                <w:color w:val="FFFFFF" w:themeColor="background1"/>
                <w:sz w:val="10"/>
                <w:szCs w:val="10"/>
                <w:vertAlign w:val="subscript"/>
              </w:rPr>
              <w:t>5</w:t>
            </w:r>
            <w:r>
              <w:t xml:space="preserve">Sector en el </w:t>
            </w:r>
            <w:r w:rsidR="00DD586D" w:rsidRPr="000401B3">
              <w:rPr>
                <w:color w:val="FFFFFF" w:themeColor="background1"/>
                <w:sz w:val="10"/>
                <w:szCs w:val="10"/>
                <w:vertAlign w:val="subscript"/>
              </w:rPr>
              <w:t>5</w:t>
            </w:r>
            <w:r>
              <w:t xml:space="preserve">marco del </w:t>
            </w:r>
            <w:r w:rsidR="00DD586D" w:rsidRPr="000401B3">
              <w:rPr>
                <w:color w:val="FFFFFF" w:themeColor="background1"/>
                <w:sz w:val="10"/>
                <w:szCs w:val="10"/>
                <w:vertAlign w:val="subscript"/>
              </w:rPr>
              <w:t>5</w:t>
            </w:r>
            <w:r>
              <w:t>PP0068</w:t>
            </w:r>
          </w:p>
        </w:tc>
        <w:tc>
          <w:tcPr>
            <w:tcW w:w="1216" w:type="dxa"/>
          </w:tcPr>
          <w:p w14:paraId="66E33377" w14:textId="77777777" w:rsidR="00657D48" w:rsidRDefault="003F3EEB">
            <w:pPr>
              <w:spacing w:after="200"/>
              <w:jc w:val="center"/>
            </w:pPr>
            <w:r>
              <w:t>1</w:t>
            </w:r>
          </w:p>
        </w:tc>
      </w:tr>
      <w:tr w:rsidR="00657D48" w14:paraId="3435CE7E" w14:textId="77777777">
        <w:tc>
          <w:tcPr>
            <w:tcW w:w="7927" w:type="dxa"/>
            <w:gridSpan w:val="2"/>
          </w:tcPr>
          <w:p w14:paraId="157B3F3D" w14:textId="0FCF0115" w:rsidR="00657D48" w:rsidRDefault="003F3EEB">
            <w:pPr>
              <w:spacing w:after="200"/>
              <w:jc w:val="center"/>
              <w:rPr>
                <w:b/>
              </w:rPr>
            </w:pPr>
            <w:r>
              <w:rPr>
                <w:b/>
              </w:rPr>
              <w:t xml:space="preserve">Monitoreo y </w:t>
            </w:r>
            <w:r w:rsidR="00DD586D" w:rsidRPr="000401B3">
              <w:rPr>
                <w:color w:val="FFFFFF" w:themeColor="background1"/>
                <w:sz w:val="10"/>
                <w:szCs w:val="10"/>
                <w:vertAlign w:val="subscript"/>
              </w:rPr>
              <w:t>5</w:t>
            </w:r>
            <w:r>
              <w:rPr>
                <w:b/>
              </w:rPr>
              <w:t>Alerta</w:t>
            </w:r>
            <w:r w:rsidR="00DD586D" w:rsidRPr="000401B3">
              <w:rPr>
                <w:color w:val="FFFFFF" w:themeColor="background1"/>
                <w:sz w:val="10"/>
                <w:szCs w:val="10"/>
                <w:vertAlign w:val="subscript"/>
              </w:rPr>
              <w:t>5</w:t>
            </w:r>
            <w:r>
              <w:rPr>
                <w:b/>
              </w:rPr>
              <w:t>Temprana</w:t>
            </w:r>
          </w:p>
        </w:tc>
      </w:tr>
      <w:tr w:rsidR="00657D48" w14:paraId="37613E85" w14:textId="77777777">
        <w:tc>
          <w:tcPr>
            <w:tcW w:w="6711" w:type="dxa"/>
          </w:tcPr>
          <w:p w14:paraId="0F3F8E9E" w14:textId="2E6759F7" w:rsidR="00657D48" w:rsidRDefault="00DD586D">
            <w:pPr>
              <w:spacing w:after="200"/>
              <w:jc w:val="center"/>
            </w:pPr>
            <w:r w:rsidRPr="000401B3">
              <w:rPr>
                <w:color w:val="FFFFFF" w:themeColor="background1"/>
                <w:sz w:val="10"/>
                <w:szCs w:val="10"/>
                <w:vertAlign w:val="subscript"/>
              </w:rPr>
              <w:t>5</w:t>
            </w:r>
            <w:r w:rsidR="003F3EEB">
              <w:rPr>
                <w:b/>
              </w:rPr>
              <w:t>Actividades</w:t>
            </w:r>
          </w:p>
        </w:tc>
        <w:tc>
          <w:tcPr>
            <w:tcW w:w="1216" w:type="dxa"/>
          </w:tcPr>
          <w:p w14:paraId="144F0AE2" w14:textId="77777777" w:rsidR="00657D48" w:rsidRDefault="003F3EEB">
            <w:pPr>
              <w:spacing w:after="200"/>
            </w:pPr>
            <w:r>
              <w:rPr>
                <w:b/>
              </w:rPr>
              <w:t>Prioridad</w:t>
            </w:r>
          </w:p>
        </w:tc>
      </w:tr>
      <w:tr w:rsidR="00657D48" w14:paraId="2FE09B19" w14:textId="77777777">
        <w:tc>
          <w:tcPr>
            <w:tcW w:w="6711" w:type="dxa"/>
          </w:tcPr>
          <w:p w14:paraId="28A8338F" w14:textId="098A7099" w:rsidR="00657D48" w:rsidRDefault="003F3EEB">
            <w:pPr>
              <w:spacing w:after="200"/>
            </w:pPr>
            <w:r>
              <w:t>Completar</w:t>
            </w:r>
            <w:r w:rsidR="00DD586D" w:rsidRPr="000401B3">
              <w:rPr>
                <w:color w:val="FFFFFF" w:themeColor="background1"/>
                <w:sz w:val="10"/>
                <w:szCs w:val="10"/>
                <w:vertAlign w:val="subscript"/>
              </w:rPr>
              <w:t>5</w:t>
            </w:r>
            <w:r>
              <w:t xml:space="preserve"> el </w:t>
            </w:r>
            <w:r w:rsidR="00DD586D" w:rsidRPr="000401B3">
              <w:rPr>
                <w:color w:val="FFFFFF" w:themeColor="background1"/>
                <w:sz w:val="10"/>
                <w:szCs w:val="10"/>
                <w:vertAlign w:val="subscript"/>
              </w:rPr>
              <w:t>5</w:t>
            </w:r>
            <w:r>
              <w:t xml:space="preserve">equipamiento y </w:t>
            </w:r>
            <w:r w:rsidR="00DD586D" w:rsidRPr="000401B3">
              <w:rPr>
                <w:color w:val="FFFFFF" w:themeColor="background1"/>
                <w:sz w:val="10"/>
                <w:szCs w:val="10"/>
                <w:vertAlign w:val="subscript"/>
              </w:rPr>
              <w:t>5</w:t>
            </w:r>
            <w:r>
              <w:t xml:space="preserve">sistemas </w:t>
            </w:r>
            <w:r w:rsidR="00DD586D" w:rsidRPr="000401B3">
              <w:rPr>
                <w:color w:val="FFFFFF" w:themeColor="background1"/>
                <w:sz w:val="10"/>
                <w:szCs w:val="10"/>
                <w:vertAlign w:val="subscript"/>
              </w:rPr>
              <w:t>5</w:t>
            </w:r>
            <w:r>
              <w:t xml:space="preserve">para la </w:t>
            </w:r>
            <w:r w:rsidR="00DD586D" w:rsidRPr="000401B3">
              <w:rPr>
                <w:color w:val="FFFFFF" w:themeColor="background1"/>
                <w:sz w:val="10"/>
                <w:szCs w:val="10"/>
                <w:vertAlign w:val="subscript"/>
              </w:rPr>
              <w:t>5</w:t>
            </w:r>
            <w:r>
              <w:t xml:space="preserve">emisión de </w:t>
            </w:r>
            <w:r w:rsidR="00DD586D" w:rsidRPr="000401B3">
              <w:rPr>
                <w:color w:val="FFFFFF" w:themeColor="background1"/>
                <w:sz w:val="10"/>
                <w:szCs w:val="10"/>
                <w:vertAlign w:val="subscript"/>
              </w:rPr>
              <w:t>5</w:t>
            </w:r>
            <w:r>
              <w:t xml:space="preserve">alerta y/o </w:t>
            </w:r>
            <w:r w:rsidR="00DD586D" w:rsidRPr="000401B3">
              <w:rPr>
                <w:color w:val="FFFFFF" w:themeColor="background1"/>
                <w:sz w:val="10"/>
                <w:szCs w:val="10"/>
                <w:vertAlign w:val="subscript"/>
              </w:rPr>
              <w:t>5</w:t>
            </w:r>
            <w:r>
              <w:t xml:space="preserve">alarma ante tsunami del </w:t>
            </w:r>
            <w:r w:rsidR="00DD586D" w:rsidRPr="000401B3">
              <w:rPr>
                <w:color w:val="FFFFFF" w:themeColor="background1"/>
                <w:sz w:val="10"/>
                <w:szCs w:val="10"/>
                <w:vertAlign w:val="subscript"/>
              </w:rPr>
              <w:t>5</w:t>
            </w:r>
            <w:r>
              <w:t xml:space="preserve">CNAT de la </w:t>
            </w:r>
            <w:r w:rsidR="00DD586D" w:rsidRPr="000401B3">
              <w:rPr>
                <w:color w:val="FFFFFF" w:themeColor="background1"/>
                <w:sz w:val="10"/>
                <w:szCs w:val="10"/>
                <w:vertAlign w:val="subscript"/>
              </w:rPr>
              <w:t>5</w:t>
            </w:r>
            <w:r>
              <w:t xml:space="preserve">DHN. </w:t>
            </w:r>
          </w:p>
        </w:tc>
        <w:tc>
          <w:tcPr>
            <w:tcW w:w="1216" w:type="dxa"/>
          </w:tcPr>
          <w:p w14:paraId="57CEB41D" w14:textId="77777777" w:rsidR="00657D48" w:rsidRDefault="003F3EEB">
            <w:pPr>
              <w:spacing w:after="200"/>
              <w:jc w:val="center"/>
            </w:pPr>
            <w:r>
              <w:t>1</w:t>
            </w:r>
          </w:p>
        </w:tc>
      </w:tr>
      <w:tr w:rsidR="00657D48" w14:paraId="7BF2E83F" w14:textId="77777777">
        <w:tc>
          <w:tcPr>
            <w:tcW w:w="6711" w:type="dxa"/>
          </w:tcPr>
          <w:p w14:paraId="56AACA66" w14:textId="18AFE022" w:rsidR="00657D48" w:rsidRDefault="003F3EEB">
            <w:pPr>
              <w:spacing w:after="200"/>
            </w:pPr>
            <w:r>
              <w:t>Evaluación</w:t>
            </w:r>
            <w:r w:rsidR="00DD586D" w:rsidRPr="000401B3">
              <w:rPr>
                <w:color w:val="FFFFFF" w:themeColor="background1"/>
                <w:sz w:val="10"/>
                <w:szCs w:val="10"/>
                <w:vertAlign w:val="subscript"/>
              </w:rPr>
              <w:t>5</w:t>
            </w:r>
            <w:r>
              <w:t xml:space="preserve"> y </w:t>
            </w:r>
            <w:r w:rsidR="00DD586D" w:rsidRPr="000401B3">
              <w:rPr>
                <w:color w:val="FFFFFF" w:themeColor="background1"/>
                <w:sz w:val="10"/>
                <w:szCs w:val="10"/>
                <w:vertAlign w:val="subscript"/>
              </w:rPr>
              <w:t>5</w:t>
            </w:r>
            <w:r>
              <w:t xml:space="preserve">análisis del </w:t>
            </w:r>
            <w:r w:rsidR="00DD586D" w:rsidRPr="000401B3">
              <w:rPr>
                <w:color w:val="FFFFFF" w:themeColor="background1"/>
                <w:sz w:val="10"/>
                <w:szCs w:val="10"/>
                <w:vertAlign w:val="subscript"/>
              </w:rPr>
              <w:t>5</w:t>
            </w:r>
            <w:r>
              <w:t xml:space="preserve">equipamiento de los </w:t>
            </w:r>
            <w:r w:rsidR="00DD586D" w:rsidRPr="000401B3">
              <w:rPr>
                <w:color w:val="FFFFFF" w:themeColor="background1"/>
                <w:sz w:val="10"/>
                <w:szCs w:val="10"/>
                <w:vertAlign w:val="subscript"/>
              </w:rPr>
              <w:t>5</w:t>
            </w:r>
            <w:r>
              <w:t xml:space="preserve">sistemas para </w:t>
            </w:r>
            <w:r w:rsidR="00DD586D" w:rsidRPr="000401B3">
              <w:rPr>
                <w:color w:val="FFFFFF" w:themeColor="background1"/>
                <w:sz w:val="10"/>
                <w:szCs w:val="10"/>
                <w:vertAlign w:val="subscript"/>
              </w:rPr>
              <w:t>5</w:t>
            </w:r>
            <w:r>
              <w:t>fortalecer las capacidades</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DIVRA y el </w:t>
            </w:r>
            <w:r w:rsidR="00DD586D" w:rsidRPr="000401B3">
              <w:rPr>
                <w:color w:val="FFFFFF" w:themeColor="background1"/>
                <w:sz w:val="10"/>
                <w:szCs w:val="10"/>
                <w:vertAlign w:val="subscript"/>
              </w:rPr>
              <w:t>5</w:t>
            </w:r>
            <w:r>
              <w:t>CEVAN</w:t>
            </w:r>
          </w:p>
        </w:tc>
        <w:tc>
          <w:tcPr>
            <w:tcW w:w="1216" w:type="dxa"/>
          </w:tcPr>
          <w:p w14:paraId="71238D5C" w14:textId="77777777" w:rsidR="00657D48" w:rsidRDefault="003F3EEB">
            <w:pPr>
              <w:spacing w:after="200"/>
              <w:jc w:val="center"/>
            </w:pPr>
            <w:r>
              <w:t>1</w:t>
            </w:r>
          </w:p>
        </w:tc>
      </w:tr>
      <w:tr w:rsidR="00657D48" w14:paraId="2B344B1D" w14:textId="77777777">
        <w:tc>
          <w:tcPr>
            <w:tcW w:w="6711" w:type="dxa"/>
          </w:tcPr>
          <w:p w14:paraId="30C4B365" w14:textId="4CBF79E2" w:rsidR="00657D48" w:rsidRDefault="003F3EEB">
            <w:pPr>
              <w:spacing w:after="200"/>
            </w:pPr>
            <w:r>
              <w:t>Completar</w:t>
            </w:r>
            <w:r w:rsidR="00DD586D" w:rsidRPr="000401B3">
              <w:rPr>
                <w:color w:val="FFFFFF" w:themeColor="background1"/>
                <w:sz w:val="10"/>
                <w:szCs w:val="10"/>
                <w:vertAlign w:val="subscript"/>
              </w:rPr>
              <w:t>5</w:t>
            </w:r>
            <w:r>
              <w:t xml:space="preserve"> el </w:t>
            </w:r>
            <w:r w:rsidR="00DD586D" w:rsidRPr="000401B3">
              <w:rPr>
                <w:color w:val="FFFFFF" w:themeColor="background1"/>
                <w:sz w:val="10"/>
                <w:szCs w:val="10"/>
                <w:vertAlign w:val="subscript"/>
              </w:rPr>
              <w:t>5</w:t>
            </w:r>
            <w:r>
              <w:t xml:space="preserve">equipamiento y </w:t>
            </w:r>
            <w:r w:rsidR="00DD586D" w:rsidRPr="000401B3">
              <w:rPr>
                <w:color w:val="FFFFFF" w:themeColor="background1"/>
                <w:sz w:val="10"/>
                <w:szCs w:val="10"/>
                <w:vertAlign w:val="subscript"/>
              </w:rPr>
              <w:t>5</w:t>
            </w:r>
            <w:r>
              <w:t xml:space="preserve">sistemas </w:t>
            </w:r>
            <w:r w:rsidR="00DD586D" w:rsidRPr="000401B3">
              <w:rPr>
                <w:color w:val="FFFFFF" w:themeColor="background1"/>
                <w:sz w:val="10"/>
                <w:szCs w:val="10"/>
                <w:vertAlign w:val="subscript"/>
              </w:rPr>
              <w:t>5</w:t>
            </w:r>
            <w:r>
              <w:t xml:space="preserve">incluido el </w:t>
            </w:r>
            <w:r w:rsidR="00DD586D" w:rsidRPr="000401B3">
              <w:rPr>
                <w:color w:val="FFFFFF" w:themeColor="background1"/>
                <w:sz w:val="10"/>
                <w:szCs w:val="10"/>
                <w:vertAlign w:val="subscript"/>
              </w:rPr>
              <w:t>5</w:t>
            </w:r>
            <w:r>
              <w:t xml:space="preserve">software y </w:t>
            </w:r>
            <w:r w:rsidR="00DD586D" w:rsidRPr="000401B3">
              <w:rPr>
                <w:color w:val="FFFFFF" w:themeColor="background1"/>
                <w:sz w:val="10"/>
                <w:szCs w:val="10"/>
                <w:vertAlign w:val="subscript"/>
              </w:rPr>
              <w:t>5</w:t>
            </w:r>
            <w:r>
              <w:t>hardware, para fortalecer</w:t>
            </w:r>
            <w:r w:rsidR="00DD586D" w:rsidRPr="000401B3">
              <w:rPr>
                <w:color w:val="FFFFFF" w:themeColor="background1"/>
                <w:sz w:val="10"/>
                <w:szCs w:val="10"/>
                <w:vertAlign w:val="subscript"/>
              </w:rPr>
              <w:t>5</w:t>
            </w:r>
            <w:r>
              <w:t xml:space="preserve"> las </w:t>
            </w:r>
            <w:r w:rsidR="00DD586D" w:rsidRPr="000401B3">
              <w:rPr>
                <w:color w:val="FFFFFF" w:themeColor="background1"/>
                <w:sz w:val="10"/>
                <w:szCs w:val="10"/>
                <w:vertAlign w:val="subscript"/>
              </w:rPr>
              <w:t>5</w:t>
            </w:r>
            <w:r>
              <w:t xml:space="preserve">capacidades de la </w:t>
            </w:r>
            <w:r w:rsidR="00DD586D" w:rsidRPr="000401B3">
              <w:rPr>
                <w:color w:val="FFFFFF" w:themeColor="background1"/>
                <w:sz w:val="10"/>
                <w:szCs w:val="10"/>
                <w:vertAlign w:val="subscript"/>
              </w:rPr>
              <w:t>5</w:t>
            </w:r>
            <w:r>
              <w:t xml:space="preserve">DIVRA y el </w:t>
            </w:r>
            <w:r w:rsidR="00DD586D" w:rsidRPr="000401B3">
              <w:rPr>
                <w:color w:val="FFFFFF" w:themeColor="background1"/>
                <w:sz w:val="10"/>
                <w:szCs w:val="10"/>
                <w:vertAlign w:val="subscript"/>
              </w:rPr>
              <w:t>5</w:t>
            </w:r>
            <w:r>
              <w:t>CEVAN</w:t>
            </w:r>
          </w:p>
        </w:tc>
        <w:tc>
          <w:tcPr>
            <w:tcW w:w="1216" w:type="dxa"/>
          </w:tcPr>
          <w:p w14:paraId="052302EF" w14:textId="77777777" w:rsidR="00657D48" w:rsidRDefault="003F3EEB">
            <w:pPr>
              <w:spacing w:after="200"/>
              <w:jc w:val="center"/>
            </w:pPr>
            <w:r>
              <w:t>2</w:t>
            </w:r>
          </w:p>
        </w:tc>
      </w:tr>
      <w:tr w:rsidR="00657D48" w14:paraId="79540BA2" w14:textId="77777777">
        <w:tc>
          <w:tcPr>
            <w:tcW w:w="7927" w:type="dxa"/>
            <w:gridSpan w:val="2"/>
          </w:tcPr>
          <w:p w14:paraId="10326B88" w14:textId="2BE448D7" w:rsidR="00657D48" w:rsidRDefault="00DD586D">
            <w:pPr>
              <w:spacing w:after="200"/>
              <w:jc w:val="center"/>
              <w:rPr>
                <w:b/>
              </w:rPr>
            </w:pPr>
            <w:r w:rsidRPr="000401B3">
              <w:rPr>
                <w:color w:val="FFFFFF" w:themeColor="background1"/>
                <w:sz w:val="10"/>
                <w:szCs w:val="10"/>
                <w:vertAlign w:val="subscript"/>
              </w:rPr>
              <w:t>5</w:t>
            </w:r>
            <w:r w:rsidR="003F3EEB">
              <w:rPr>
                <w:b/>
              </w:rPr>
              <w:t>Información p</w:t>
            </w:r>
            <w:r w:rsidRPr="000401B3">
              <w:rPr>
                <w:color w:val="FFFFFF" w:themeColor="background1"/>
                <w:sz w:val="10"/>
                <w:szCs w:val="10"/>
                <w:vertAlign w:val="subscript"/>
              </w:rPr>
              <w:t>5</w:t>
            </w:r>
            <w:r w:rsidR="003F3EEB">
              <w:rPr>
                <w:b/>
              </w:rPr>
              <w:t xml:space="preserve">ública y </w:t>
            </w:r>
            <w:r w:rsidRPr="000401B3">
              <w:rPr>
                <w:color w:val="FFFFFF" w:themeColor="background1"/>
                <w:sz w:val="10"/>
                <w:szCs w:val="10"/>
                <w:vertAlign w:val="subscript"/>
              </w:rPr>
              <w:t>5</w:t>
            </w:r>
            <w:r w:rsidR="003F3EEB">
              <w:rPr>
                <w:b/>
              </w:rPr>
              <w:t>sensibilización</w:t>
            </w:r>
          </w:p>
        </w:tc>
      </w:tr>
      <w:tr w:rsidR="00657D48" w14:paraId="7C21BF29" w14:textId="77777777">
        <w:tc>
          <w:tcPr>
            <w:tcW w:w="6711" w:type="dxa"/>
          </w:tcPr>
          <w:p w14:paraId="284F2DC7" w14:textId="6FCB215E" w:rsidR="00657D48" w:rsidRDefault="003F3EEB">
            <w:pPr>
              <w:spacing w:after="200"/>
              <w:jc w:val="center"/>
              <w:rPr>
                <w:b/>
              </w:rPr>
            </w:pPr>
            <w:r>
              <w:rPr>
                <w:b/>
              </w:rPr>
              <w:t>A</w:t>
            </w:r>
            <w:r w:rsidR="00DD586D" w:rsidRPr="000401B3">
              <w:rPr>
                <w:color w:val="FFFFFF" w:themeColor="background1"/>
                <w:sz w:val="10"/>
                <w:szCs w:val="10"/>
                <w:vertAlign w:val="subscript"/>
              </w:rPr>
              <w:t>5</w:t>
            </w:r>
            <w:r>
              <w:rPr>
                <w:b/>
              </w:rPr>
              <w:t>ctividades</w:t>
            </w:r>
          </w:p>
        </w:tc>
        <w:tc>
          <w:tcPr>
            <w:tcW w:w="1216" w:type="dxa"/>
          </w:tcPr>
          <w:p w14:paraId="009C02BD" w14:textId="77777777" w:rsidR="00657D48" w:rsidRDefault="003F3EEB">
            <w:pPr>
              <w:spacing w:after="200"/>
              <w:jc w:val="center"/>
              <w:rPr>
                <w:b/>
              </w:rPr>
            </w:pPr>
            <w:r>
              <w:rPr>
                <w:b/>
              </w:rPr>
              <w:t>Prioridad</w:t>
            </w:r>
          </w:p>
        </w:tc>
      </w:tr>
      <w:tr w:rsidR="00657D48" w14:paraId="78A7CD99" w14:textId="77777777">
        <w:tc>
          <w:tcPr>
            <w:tcW w:w="6711" w:type="dxa"/>
          </w:tcPr>
          <w:p w14:paraId="35AF7212" w14:textId="0EB3A6B8" w:rsidR="00657D48" w:rsidRDefault="003F3EEB">
            <w:pPr>
              <w:spacing w:after="200"/>
            </w:pPr>
            <w:r>
              <w:t>Difusión,</w:t>
            </w:r>
            <w:r w:rsidR="00DD586D" w:rsidRPr="000401B3">
              <w:rPr>
                <w:color w:val="FFFFFF" w:themeColor="background1"/>
                <w:sz w:val="10"/>
                <w:szCs w:val="10"/>
                <w:vertAlign w:val="subscript"/>
              </w:rPr>
              <w:t xml:space="preserve"> 5</w:t>
            </w:r>
            <w:r>
              <w:t xml:space="preserve"> en </w:t>
            </w:r>
            <w:r w:rsidR="00DD586D" w:rsidRPr="000401B3">
              <w:rPr>
                <w:color w:val="FFFFFF" w:themeColor="background1"/>
                <w:sz w:val="10"/>
                <w:szCs w:val="10"/>
                <w:vertAlign w:val="subscript"/>
              </w:rPr>
              <w:t>5</w:t>
            </w:r>
            <w:r>
              <w:t xml:space="preserve">coordinación </w:t>
            </w:r>
            <w:r w:rsidR="00DD586D" w:rsidRPr="000401B3">
              <w:rPr>
                <w:color w:val="FFFFFF" w:themeColor="background1"/>
                <w:sz w:val="10"/>
                <w:szCs w:val="10"/>
                <w:vertAlign w:val="subscript"/>
              </w:rPr>
              <w:t>5</w:t>
            </w:r>
            <w:r>
              <w:t xml:space="preserve">con </w:t>
            </w:r>
            <w:r w:rsidR="00DD586D" w:rsidRPr="000401B3">
              <w:rPr>
                <w:color w:val="FFFFFF" w:themeColor="background1"/>
                <w:sz w:val="10"/>
                <w:szCs w:val="10"/>
                <w:vertAlign w:val="subscript"/>
              </w:rPr>
              <w:t>5</w:t>
            </w:r>
            <w:r>
              <w:t xml:space="preserve">los </w:t>
            </w:r>
            <w:r w:rsidR="00DD586D" w:rsidRPr="000401B3">
              <w:rPr>
                <w:color w:val="FFFFFF" w:themeColor="background1"/>
                <w:sz w:val="10"/>
                <w:szCs w:val="10"/>
                <w:vertAlign w:val="subscript"/>
              </w:rPr>
              <w:t>5</w:t>
            </w:r>
            <w:r>
              <w:t xml:space="preserve">gobiernos </w:t>
            </w:r>
            <w:r w:rsidR="00DD586D" w:rsidRPr="000401B3">
              <w:rPr>
                <w:color w:val="FFFFFF" w:themeColor="background1"/>
                <w:sz w:val="10"/>
                <w:szCs w:val="10"/>
                <w:vertAlign w:val="subscript"/>
              </w:rPr>
              <w:t>5</w:t>
            </w:r>
            <w:r>
              <w:t xml:space="preserve">regionales y </w:t>
            </w:r>
            <w:r w:rsidR="00DD586D" w:rsidRPr="000401B3">
              <w:rPr>
                <w:color w:val="FFFFFF" w:themeColor="background1"/>
                <w:sz w:val="10"/>
                <w:szCs w:val="10"/>
                <w:vertAlign w:val="subscript"/>
              </w:rPr>
              <w:t>5</w:t>
            </w:r>
            <w:r>
              <w:t xml:space="preserve">locales, </w:t>
            </w:r>
            <w:r w:rsidR="00DD586D" w:rsidRPr="000401B3">
              <w:rPr>
                <w:color w:val="FFFFFF" w:themeColor="background1"/>
                <w:sz w:val="10"/>
                <w:szCs w:val="10"/>
                <w:vertAlign w:val="subscript"/>
              </w:rPr>
              <w:t>5</w:t>
            </w:r>
            <w:r>
              <w:t xml:space="preserve">de </w:t>
            </w:r>
            <w:r w:rsidR="00DD586D" w:rsidRPr="000401B3">
              <w:rPr>
                <w:color w:val="FFFFFF" w:themeColor="background1"/>
                <w:sz w:val="10"/>
                <w:szCs w:val="10"/>
                <w:vertAlign w:val="subscript"/>
              </w:rPr>
              <w:t>5</w:t>
            </w:r>
            <w:r>
              <w:t>los peligros</w:t>
            </w:r>
            <w:r w:rsidR="00DD586D" w:rsidRPr="000401B3">
              <w:rPr>
                <w:color w:val="FFFFFF" w:themeColor="background1"/>
                <w:sz w:val="10"/>
                <w:szCs w:val="10"/>
                <w:vertAlign w:val="subscript"/>
              </w:rPr>
              <w:t>5</w:t>
            </w:r>
            <w:r>
              <w:t xml:space="preserve"> a los </w:t>
            </w:r>
            <w:r w:rsidR="00DD586D" w:rsidRPr="000401B3">
              <w:rPr>
                <w:color w:val="FFFFFF" w:themeColor="background1"/>
                <w:sz w:val="10"/>
                <w:szCs w:val="10"/>
                <w:vertAlign w:val="subscript"/>
              </w:rPr>
              <w:t>5</w:t>
            </w:r>
            <w:r>
              <w:t xml:space="preserve">cuales </w:t>
            </w:r>
            <w:r w:rsidR="00DD586D" w:rsidRPr="000401B3">
              <w:rPr>
                <w:color w:val="FFFFFF" w:themeColor="background1"/>
                <w:sz w:val="10"/>
                <w:szCs w:val="10"/>
                <w:vertAlign w:val="subscript"/>
              </w:rPr>
              <w:t>5</w:t>
            </w:r>
            <w:r>
              <w:t xml:space="preserve">está </w:t>
            </w:r>
            <w:r w:rsidR="00DD586D" w:rsidRPr="000401B3">
              <w:rPr>
                <w:color w:val="FFFFFF" w:themeColor="background1"/>
                <w:sz w:val="10"/>
                <w:szCs w:val="10"/>
                <w:vertAlign w:val="subscript"/>
              </w:rPr>
              <w:t>5</w:t>
            </w:r>
            <w:r>
              <w:t xml:space="preserve">expuesta </w:t>
            </w:r>
            <w:r w:rsidR="00DD586D" w:rsidRPr="000401B3">
              <w:rPr>
                <w:color w:val="FFFFFF" w:themeColor="background1"/>
                <w:sz w:val="10"/>
                <w:szCs w:val="10"/>
                <w:vertAlign w:val="subscript"/>
              </w:rPr>
              <w:t>5</w:t>
            </w:r>
            <w:r>
              <w:t xml:space="preserve">la </w:t>
            </w:r>
            <w:r w:rsidR="00DD586D" w:rsidRPr="000401B3">
              <w:rPr>
                <w:color w:val="FFFFFF" w:themeColor="background1"/>
                <w:sz w:val="10"/>
                <w:szCs w:val="10"/>
                <w:vertAlign w:val="subscript"/>
              </w:rPr>
              <w:t>5</w:t>
            </w:r>
            <w:r>
              <w:t xml:space="preserve">población y </w:t>
            </w:r>
            <w:r w:rsidR="00DD586D" w:rsidRPr="000401B3">
              <w:rPr>
                <w:color w:val="FFFFFF" w:themeColor="background1"/>
                <w:sz w:val="10"/>
                <w:szCs w:val="10"/>
                <w:vertAlign w:val="subscript"/>
              </w:rPr>
              <w:t>5</w:t>
            </w:r>
            <w:r>
              <w:t xml:space="preserve">las </w:t>
            </w:r>
            <w:r w:rsidR="00DD586D" w:rsidRPr="000401B3">
              <w:rPr>
                <w:color w:val="FFFFFF" w:themeColor="background1"/>
                <w:sz w:val="10"/>
                <w:szCs w:val="10"/>
                <w:vertAlign w:val="subscript"/>
              </w:rPr>
              <w:t>5</w:t>
            </w:r>
            <w:r>
              <w:t xml:space="preserve">medidas </w:t>
            </w:r>
            <w:r w:rsidR="00DD586D" w:rsidRPr="000401B3">
              <w:rPr>
                <w:color w:val="FFFFFF" w:themeColor="background1"/>
                <w:sz w:val="10"/>
                <w:szCs w:val="10"/>
                <w:vertAlign w:val="subscript"/>
              </w:rPr>
              <w:t>5</w:t>
            </w:r>
            <w:r>
              <w:t>que hay que tomar</w:t>
            </w:r>
            <w:r w:rsidR="00DD586D" w:rsidRPr="000401B3">
              <w:rPr>
                <w:color w:val="FFFFFF" w:themeColor="background1"/>
                <w:sz w:val="10"/>
                <w:szCs w:val="10"/>
                <w:vertAlign w:val="subscript"/>
              </w:rPr>
              <w:t>5</w:t>
            </w:r>
            <w:r>
              <w:t xml:space="preserve"> a </w:t>
            </w:r>
            <w:r w:rsidR="00DD586D" w:rsidRPr="000401B3">
              <w:rPr>
                <w:color w:val="FFFFFF" w:themeColor="background1"/>
                <w:sz w:val="10"/>
                <w:szCs w:val="10"/>
                <w:vertAlign w:val="subscript"/>
              </w:rPr>
              <w:t>5</w:t>
            </w:r>
            <w:r>
              <w:t xml:space="preserve">través de la </w:t>
            </w:r>
            <w:r w:rsidR="00DD586D" w:rsidRPr="000401B3">
              <w:rPr>
                <w:color w:val="FFFFFF" w:themeColor="background1"/>
                <w:sz w:val="10"/>
                <w:szCs w:val="10"/>
                <w:vertAlign w:val="subscript"/>
              </w:rPr>
              <w:t>5</w:t>
            </w:r>
            <w:r>
              <w:t xml:space="preserve">página </w:t>
            </w:r>
            <w:r w:rsidR="00DD586D" w:rsidRPr="000401B3">
              <w:rPr>
                <w:color w:val="FFFFFF" w:themeColor="background1"/>
                <w:sz w:val="10"/>
                <w:szCs w:val="10"/>
                <w:vertAlign w:val="subscript"/>
              </w:rPr>
              <w:t>5</w:t>
            </w:r>
            <w:r>
              <w:t xml:space="preserve">web y </w:t>
            </w:r>
            <w:r w:rsidR="00DD586D" w:rsidRPr="000401B3">
              <w:rPr>
                <w:color w:val="FFFFFF" w:themeColor="background1"/>
                <w:sz w:val="10"/>
                <w:szCs w:val="10"/>
                <w:vertAlign w:val="subscript"/>
              </w:rPr>
              <w:t>5</w:t>
            </w:r>
            <w:r>
              <w:t xml:space="preserve">redes </w:t>
            </w:r>
            <w:r w:rsidR="00DD586D" w:rsidRPr="000401B3">
              <w:rPr>
                <w:color w:val="FFFFFF" w:themeColor="background1"/>
                <w:sz w:val="10"/>
                <w:szCs w:val="10"/>
                <w:vertAlign w:val="subscript"/>
              </w:rPr>
              <w:t>5</w:t>
            </w:r>
            <w:r>
              <w:t xml:space="preserve">sociales del </w:t>
            </w:r>
            <w:r w:rsidR="00DD586D" w:rsidRPr="000401B3">
              <w:rPr>
                <w:color w:val="FFFFFF" w:themeColor="background1"/>
                <w:sz w:val="10"/>
                <w:szCs w:val="10"/>
                <w:vertAlign w:val="subscript"/>
              </w:rPr>
              <w:t>5</w:t>
            </w:r>
            <w:r>
              <w:t xml:space="preserve">Sector </w:t>
            </w:r>
            <w:r w:rsidR="00DD586D" w:rsidRPr="000401B3">
              <w:rPr>
                <w:color w:val="FFFFFF" w:themeColor="background1"/>
                <w:sz w:val="10"/>
                <w:szCs w:val="10"/>
                <w:vertAlign w:val="subscript"/>
              </w:rPr>
              <w:t>5</w:t>
            </w:r>
            <w:r>
              <w:t xml:space="preserve">Defensa de acuerdo a la </w:t>
            </w:r>
            <w:r w:rsidR="00DD586D" w:rsidRPr="000401B3">
              <w:rPr>
                <w:color w:val="FFFFFF" w:themeColor="background1"/>
                <w:sz w:val="10"/>
                <w:szCs w:val="10"/>
                <w:vertAlign w:val="subscript"/>
              </w:rPr>
              <w:t>5</w:t>
            </w:r>
            <w:r>
              <w:t xml:space="preserve">normativa </w:t>
            </w:r>
            <w:r w:rsidR="00DD586D" w:rsidRPr="000401B3">
              <w:rPr>
                <w:color w:val="FFFFFF" w:themeColor="background1"/>
                <w:sz w:val="10"/>
                <w:szCs w:val="10"/>
                <w:vertAlign w:val="subscript"/>
              </w:rPr>
              <w:t>5</w:t>
            </w:r>
            <w:r>
              <w:t xml:space="preserve">vigente. </w:t>
            </w:r>
          </w:p>
        </w:tc>
        <w:tc>
          <w:tcPr>
            <w:tcW w:w="1216" w:type="dxa"/>
          </w:tcPr>
          <w:p w14:paraId="26B7EA64" w14:textId="77777777" w:rsidR="00657D48" w:rsidRDefault="003F3EEB">
            <w:pPr>
              <w:spacing w:after="200"/>
              <w:jc w:val="center"/>
            </w:pPr>
            <w:r>
              <w:t>3</w:t>
            </w:r>
          </w:p>
        </w:tc>
      </w:tr>
      <w:tr w:rsidR="00657D48" w14:paraId="30C1BFB9" w14:textId="77777777">
        <w:tc>
          <w:tcPr>
            <w:tcW w:w="6711" w:type="dxa"/>
          </w:tcPr>
          <w:p w14:paraId="58876D87" w14:textId="081484BC" w:rsidR="00657D48" w:rsidRDefault="003F3EEB">
            <w:pPr>
              <w:spacing w:after="200"/>
            </w:pPr>
            <w:r>
              <w:t>Difusión</w:t>
            </w:r>
            <w:r w:rsidR="00DD586D" w:rsidRPr="000401B3">
              <w:rPr>
                <w:color w:val="FFFFFF" w:themeColor="background1"/>
                <w:sz w:val="10"/>
                <w:szCs w:val="10"/>
                <w:vertAlign w:val="subscript"/>
              </w:rPr>
              <w:t>5</w:t>
            </w:r>
            <w:r>
              <w:t xml:space="preserve"> de la </w:t>
            </w:r>
            <w:r w:rsidR="00DD586D" w:rsidRPr="000401B3">
              <w:rPr>
                <w:color w:val="FFFFFF" w:themeColor="background1"/>
                <w:sz w:val="10"/>
                <w:szCs w:val="10"/>
                <w:vertAlign w:val="subscript"/>
              </w:rPr>
              <w:t>5</w:t>
            </w:r>
            <w:r>
              <w:t xml:space="preserve">información y </w:t>
            </w:r>
            <w:r w:rsidR="00DD586D" w:rsidRPr="000401B3">
              <w:rPr>
                <w:color w:val="FFFFFF" w:themeColor="background1"/>
                <w:sz w:val="10"/>
                <w:szCs w:val="10"/>
                <w:vertAlign w:val="subscript"/>
              </w:rPr>
              <w:t>5</w:t>
            </w:r>
            <w:r>
              <w:t xml:space="preserve">sensibilización de la </w:t>
            </w:r>
            <w:r w:rsidR="00DD586D" w:rsidRPr="000401B3">
              <w:rPr>
                <w:color w:val="FFFFFF" w:themeColor="background1"/>
                <w:sz w:val="10"/>
                <w:szCs w:val="10"/>
                <w:vertAlign w:val="subscript"/>
              </w:rPr>
              <w:t>5</w:t>
            </w:r>
            <w:r>
              <w:t xml:space="preserve">población en </w:t>
            </w:r>
            <w:r w:rsidR="00DD586D" w:rsidRPr="000401B3">
              <w:rPr>
                <w:color w:val="FFFFFF" w:themeColor="background1"/>
                <w:sz w:val="10"/>
                <w:szCs w:val="10"/>
                <w:vertAlign w:val="subscript"/>
              </w:rPr>
              <w:t>5</w:t>
            </w:r>
            <w:r>
              <w:t>temas relacionados</w:t>
            </w:r>
            <w:r w:rsidR="00DD586D" w:rsidRPr="000401B3">
              <w:rPr>
                <w:color w:val="FFFFFF" w:themeColor="background1"/>
                <w:sz w:val="10"/>
                <w:szCs w:val="10"/>
                <w:vertAlign w:val="subscript"/>
              </w:rPr>
              <w:t>5</w:t>
            </w:r>
            <w:r>
              <w:t xml:space="preserve"> a la GRD a </w:t>
            </w:r>
            <w:r w:rsidR="00DD586D" w:rsidRPr="000401B3">
              <w:rPr>
                <w:color w:val="FFFFFF" w:themeColor="background1"/>
                <w:sz w:val="10"/>
                <w:szCs w:val="10"/>
                <w:vertAlign w:val="subscript"/>
              </w:rPr>
              <w:t>5</w:t>
            </w:r>
            <w:r>
              <w:t xml:space="preserve">través </w:t>
            </w:r>
            <w:r w:rsidR="00DD586D" w:rsidRPr="000401B3">
              <w:rPr>
                <w:color w:val="FFFFFF" w:themeColor="background1"/>
                <w:sz w:val="10"/>
                <w:szCs w:val="10"/>
                <w:vertAlign w:val="subscript"/>
              </w:rPr>
              <w:t>5</w:t>
            </w:r>
            <w:r>
              <w:t xml:space="preserve">acciones </w:t>
            </w:r>
            <w:r w:rsidR="00DD586D" w:rsidRPr="000401B3">
              <w:rPr>
                <w:color w:val="FFFFFF" w:themeColor="background1"/>
                <w:sz w:val="10"/>
                <w:szCs w:val="10"/>
                <w:vertAlign w:val="subscript"/>
              </w:rPr>
              <w:t>5</w:t>
            </w:r>
            <w:r>
              <w:t>cívicas</w:t>
            </w:r>
          </w:p>
        </w:tc>
        <w:tc>
          <w:tcPr>
            <w:tcW w:w="1216" w:type="dxa"/>
          </w:tcPr>
          <w:p w14:paraId="5E81B320" w14:textId="77777777" w:rsidR="00657D48" w:rsidRDefault="003F3EEB">
            <w:pPr>
              <w:spacing w:after="200"/>
              <w:jc w:val="center"/>
            </w:pPr>
            <w:r>
              <w:t>3</w:t>
            </w:r>
          </w:p>
        </w:tc>
      </w:tr>
    </w:tbl>
    <w:p w14:paraId="13E4E1AB" w14:textId="77777777" w:rsidR="00657D48" w:rsidRDefault="00657D48">
      <w:pPr>
        <w:spacing w:after="200"/>
        <w:jc w:val="both"/>
        <w:rPr>
          <w:rFonts w:ascii="Times New Roman" w:eastAsia="Times New Roman" w:hAnsi="Times New Roman" w:cs="Times New Roman"/>
        </w:rPr>
      </w:pPr>
    </w:p>
    <w:p w14:paraId="4EB21F35" w14:textId="6BAEBEF7" w:rsidR="00657D48"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Estas actividades no se deben desarrollar por todas las entidades por lo que se requiere que estas desarrollen en el tiempo que tenga vigencia el Plan de Preparación</w:t>
      </w:r>
      <w:r w:rsidR="00685982">
        <w:rPr>
          <w:rFonts w:ascii="Times New Roman" w:eastAsia="Times New Roman" w:hAnsi="Times New Roman" w:cs="Times New Roman"/>
        </w:rPr>
        <w:t>, siendo</w:t>
      </w:r>
      <w:r w:rsidRPr="00A71C10">
        <w:rPr>
          <w:rFonts w:ascii="Times New Roman" w:eastAsia="Times New Roman" w:hAnsi="Times New Roman" w:cs="Times New Roman"/>
        </w:rPr>
        <w:t xml:space="preserve"> el</w:t>
      </w:r>
      <w:r w:rsidR="00685982">
        <w:rPr>
          <w:rFonts w:ascii="Times New Roman" w:eastAsia="Times New Roman" w:hAnsi="Times New Roman" w:cs="Times New Roman"/>
        </w:rPr>
        <w:t xml:space="preserve"> ideal que el</w:t>
      </w:r>
      <w:r w:rsidRPr="00A71C10">
        <w:rPr>
          <w:rFonts w:ascii="Times New Roman" w:eastAsia="Times New Roman" w:hAnsi="Times New Roman" w:cs="Times New Roman"/>
        </w:rPr>
        <w:t xml:space="preserve"> 75% de las actividades </w:t>
      </w:r>
      <w:r w:rsidR="00685982">
        <w:rPr>
          <w:rFonts w:ascii="Times New Roman" w:eastAsia="Times New Roman" w:hAnsi="Times New Roman" w:cs="Times New Roman"/>
        </w:rPr>
        <w:t xml:space="preserve">se cumplan </w:t>
      </w:r>
      <w:r w:rsidRPr="00A71C10">
        <w:rPr>
          <w:rFonts w:ascii="Times New Roman" w:eastAsia="Times New Roman" w:hAnsi="Times New Roman" w:cs="Times New Roman"/>
        </w:rPr>
        <w:t>como mínimo</w:t>
      </w:r>
      <w:r w:rsidR="00685982">
        <w:rPr>
          <w:rFonts w:ascii="Times New Roman" w:eastAsia="Times New Roman" w:hAnsi="Times New Roman" w:cs="Times New Roman"/>
        </w:rPr>
        <w:t>,</w:t>
      </w:r>
      <w:r w:rsidRPr="00A71C10">
        <w:rPr>
          <w:rFonts w:ascii="Times New Roman" w:eastAsia="Times New Roman" w:hAnsi="Times New Roman" w:cs="Times New Roman"/>
        </w:rPr>
        <w:t xml:space="preserve"> al final del periodo de implementación del Plan:</w:t>
      </w:r>
    </w:p>
    <w:tbl>
      <w:tblPr>
        <w:tblStyle w:val="af2"/>
        <w:tblW w:w="7927"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268"/>
        <w:gridCol w:w="3396"/>
      </w:tblGrid>
      <w:tr w:rsidR="00657D48" w14:paraId="488577A3" w14:textId="77777777">
        <w:tc>
          <w:tcPr>
            <w:tcW w:w="2263" w:type="dxa"/>
          </w:tcPr>
          <w:p w14:paraId="2264160A" w14:textId="77777777" w:rsidR="00657D48" w:rsidRDefault="003F3EEB">
            <w:pPr>
              <w:spacing w:after="200"/>
            </w:pPr>
            <w:r>
              <w:t>Total de entidades</w:t>
            </w:r>
          </w:p>
        </w:tc>
        <w:tc>
          <w:tcPr>
            <w:tcW w:w="2268" w:type="dxa"/>
          </w:tcPr>
          <w:p w14:paraId="74AE32AE" w14:textId="77777777" w:rsidR="00657D48" w:rsidRDefault="003F3EEB">
            <w:pPr>
              <w:spacing w:after="200"/>
            </w:pPr>
            <w:r>
              <w:t>Total, de actividades</w:t>
            </w:r>
          </w:p>
        </w:tc>
        <w:tc>
          <w:tcPr>
            <w:tcW w:w="3396" w:type="dxa"/>
          </w:tcPr>
          <w:p w14:paraId="59DB2E20" w14:textId="77777777" w:rsidR="00657D48" w:rsidRDefault="003F3EEB">
            <w:pPr>
              <w:spacing w:after="200"/>
            </w:pPr>
            <w:r>
              <w:t>A final del periodo actividades a implementar</w:t>
            </w:r>
          </w:p>
        </w:tc>
      </w:tr>
      <w:tr w:rsidR="00657D48" w14:paraId="0B9D2E99" w14:textId="77777777">
        <w:tc>
          <w:tcPr>
            <w:tcW w:w="2263" w:type="dxa"/>
          </w:tcPr>
          <w:p w14:paraId="434B8547" w14:textId="77777777" w:rsidR="00657D48" w:rsidRDefault="003F3EEB">
            <w:pPr>
              <w:spacing w:after="200"/>
            </w:pPr>
            <w:r>
              <w:t>MINDEF</w:t>
            </w:r>
          </w:p>
        </w:tc>
        <w:tc>
          <w:tcPr>
            <w:tcW w:w="2268" w:type="dxa"/>
          </w:tcPr>
          <w:p w14:paraId="4344BF32" w14:textId="77777777" w:rsidR="00657D48" w:rsidRDefault="003F3EEB">
            <w:pPr>
              <w:spacing w:after="200"/>
            </w:pPr>
            <w:r>
              <w:t>18</w:t>
            </w:r>
          </w:p>
        </w:tc>
        <w:tc>
          <w:tcPr>
            <w:tcW w:w="3396" w:type="dxa"/>
          </w:tcPr>
          <w:p w14:paraId="3F67C92A" w14:textId="77777777" w:rsidR="00657D48" w:rsidRDefault="003F3EEB">
            <w:pPr>
              <w:spacing w:after="200"/>
            </w:pPr>
            <w:r>
              <w:t>14</w:t>
            </w:r>
          </w:p>
        </w:tc>
      </w:tr>
      <w:tr w:rsidR="00657D48" w14:paraId="0CE63640" w14:textId="77777777">
        <w:tc>
          <w:tcPr>
            <w:tcW w:w="2263" w:type="dxa"/>
          </w:tcPr>
          <w:p w14:paraId="28114AFF" w14:textId="77777777" w:rsidR="00657D48" w:rsidRDefault="003F3EEB">
            <w:pPr>
              <w:spacing w:after="200"/>
            </w:pPr>
            <w:r>
              <w:t>CCFFAA</w:t>
            </w:r>
          </w:p>
        </w:tc>
        <w:tc>
          <w:tcPr>
            <w:tcW w:w="2268" w:type="dxa"/>
          </w:tcPr>
          <w:p w14:paraId="3A76E0F1" w14:textId="77777777" w:rsidR="00657D48" w:rsidRDefault="003F3EEB">
            <w:pPr>
              <w:spacing w:after="200"/>
            </w:pPr>
            <w:r>
              <w:t>14</w:t>
            </w:r>
          </w:p>
        </w:tc>
        <w:tc>
          <w:tcPr>
            <w:tcW w:w="3396" w:type="dxa"/>
          </w:tcPr>
          <w:p w14:paraId="7DA06240" w14:textId="77777777" w:rsidR="00657D48" w:rsidRDefault="003F3EEB">
            <w:pPr>
              <w:spacing w:after="200"/>
            </w:pPr>
            <w:r>
              <w:t>10</w:t>
            </w:r>
          </w:p>
        </w:tc>
      </w:tr>
      <w:tr w:rsidR="00657D48" w14:paraId="3A3041F6" w14:textId="77777777">
        <w:tc>
          <w:tcPr>
            <w:tcW w:w="2263" w:type="dxa"/>
          </w:tcPr>
          <w:p w14:paraId="76BBF89C" w14:textId="77777777" w:rsidR="00657D48" w:rsidRDefault="003F3EEB">
            <w:pPr>
              <w:spacing w:after="200"/>
            </w:pPr>
            <w:r>
              <w:t>EP</w:t>
            </w:r>
          </w:p>
        </w:tc>
        <w:tc>
          <w:tcPr>
            <w:tcW w:w="2268" w:type="dxa"/>
          </w:tcPr>
          <w:p w14:paraId="243D5DD4" w14:textId="77777777" w:rsidR="00657D48" w:rsidRDefault="003F3EEB">
            <w:pPr>
              <w:spacing w:after="200"/>
            </w:pPr>
            <w:r>
              <w:t>22</w:t>
            </w:r>
          </w:p>
        </w:tc>
        <w:tc>
          <w:tcPr>
            <w:tcW w:w="3396" w:type="dxa"/>
          </w:tcPr>
          <w:p w14:paraId="614549E2" w14:textId="77777777" w:rsidR="00657D48" w:rsidRDefault="003F3EEB">
            <w:pPr>
              <w:spacing w:after="200"/>
            </w:pPr>
            <w:r>
              <w:t>16</w:t>
            </w:r>
          </w:p>
        </w:tc>
      </w:tr>
      <w:tr w:rsidR="00657D48" w14:paraId="74F3642C" w14:textId="77777777">
        <w:tc>
          <w:tcPr>
            <w:tcW w:w="2263" w:type="dxa"/>
          </w:tcPr>
          <w:p w14:paraId="685F528E" w14:textId="77777777" w:rsidR="00657D48" w:rsidRDefault="003F3EEB">
            <w:pPr>
              <w:spacing w:after="200"/>
            </w:pPr>
            <w:r>
              <w:t>MGP</w:t>
            </w:r>
          </w:p>
        </w:tc>
        <w:tc>
          <w:tcPr>
            <w:tcW w:w="2268" w:type="dxa"/>
          </w:tcPr>
          <w:p w14:paraId="2BEF09C6" w14:textId="77777777" w:rsidR="00657D48" w:rsidRDefault="003F3EEB">
            <w:pPr>
              <w:spacing w:after="200"/>
            </w:pPr>
            <w:r>
              <w:t>19</w:t>
            </w:r>
          </w:p>
        </w:tc>
        <w:tc>
          <w:tcPr>
            <w:tcW w:w="3396" w:type="dxa"/>
          </w:tcPr>
          <w:p w14:paraId="0C56B1E5" w14:textId="77777777" w:rsidR="00657D48" w:rsidRDefault="003F3EEB">
            <w:pPr>
              <w:spacing w:after="200"/>
            </w:pPr>
            <w:r>
              <w:t>14</w:t>
            </w:r>
          </w:p>
        </w:tc>
      </w:tr>
      <w:tr w:rsidR="00657D48" w14:paraId="672BFE55" w14:textId="77777777">
        <w:tc>
          <w:tcPr>
            <w:tcW w:w="2263" w:type="dxa"/>
          </w:tcPr>
          <w:p w14:paraId="3856DEDA" w14:textId="77777777" w:rsidR="00657D48" w:rsidRDefault="003F3EEB">
            <w:pPr>
              <w:spacing w:after="200"/>
            </w:pPr>
            <w:r>
              <w:t>FAP</w:t>
            </w:r>
          </w:p>
        </w:tc>
        <w:tc>
          <w:tcPr>
            <w:tcW w:w="2268" w:type="dxa"/>
          </w:tcPr>
          <w:p w14:paraId="77B01634" w14:textId="77777777" w:rsidR="00657D48" w:rsidRDefault="003F3EEB">
            <w:pPr>
              <w:spacing w:after="200"/>
            </w:pPr>
            <w:r>
              <w:t>27</w:t>
            </w:r>
          </w:p>
        </w:tc>
        <w:tc>
          <w:tcPr>
            <w:tcW w:w="3396" w:type="dxa"/>
          </w:tcPr>
          <w:p w14:paraId="3950ADE5" w14:textId="77777777" w:rsidR="00657D48" w:rsidRDefault="003F3EEB">
            <w:pPr>
              <w:spacing w:after="200"/>
            </w:pPr>
            <w:r>
              <w:t>20</w:t>
            </w:r>
          </w:p>
        </w:tc>
      </w:tr>
      <w:tr w:rsidR="00657D48" w14:paraId="5E22E12F" w14:textId="77777777">
        <w:tc>
          <w:tcPr>
            <w:tcW w:w="2263" w:type="dxa"/>
          </w:tcPr>
          <w:p w14:paraId="1DC90269" w14:textId="77777777" w:rsidR="00657D48" w:rsidRDefault="003F3EEB">
            <w:pPr>
              <w:spacing w:after="200"/>
            </w:pPr>
            <w:r>
              <w:t>CENEPRED</w:t>
            </w:r>
          </w:p>
        </w:tc>
        <w:tc>
          <w:tcPr>
            <w:tcW w:w="2268" w:type="dxa"/>
          </w:tcPr>
          <w:p w14:paraId="436E2F77" w14:textId="77777777" w:rsidR="00657D48" w:rsidRDefault="003F3EEB">
            <w:pPr>
              <w:spacing w:after="200"/>
            </w:pPr>
            <w:r>
              <w:t>1</w:t>
            </w:r>
          </w:p>
        </w:tc>
        <w:tc>
          <w:tcPr>
            <w:tcW w:w="3396" w:type="dxa"/>
          </w:tcPr>
          <w:p w14:paraId="751FC058" w14:textId="77777777" w:rsidR="00657D48" w:rsidRDefault="003F3EEB">
            <w:pPr>
              <w:spacing w:after="200"/>
            </w:pPr>
            <w:r>
              <w:t>1</w:t>
            </w:r>
          </w:p>
        </w:tc>
      </w:tr>
      <w:tr w:rsidR="00657D48" w14:paraId="1AA5E4D8" w14:textId="77777777">
        <w:tc>
          <w:tcPr>
            <w:tcW w:w="2263" w:type="dxa"/>
          </w:tcPr>
          <w:p w14:paraId="7B25B398" w14:textId="77777777" w:rsidR="00657D48" w:rsidRDefault="003F3EEB">
            <w:pPr>
              <w:spacing w:after="200"/>
            </w:pPr>
            <w:r>
              <w:t>DIHIDRONAV</w:t>
            </w:r>
          </w:p>
        </w:tc>
        <w:tc>
          <w:tcPr>
            <w:tcW w:w="2268" w:type="dxa"/>
          </w:tcPr>
          <w:p w14:paraId="7067C128" w14:textId="77777777" w:rsidR="00657D48" w:rsidRDefault="003F3EEB">
            <w:pPr>
              <w:spacing w:after="200"/>
            </w:pPr>
            <w:r>
              <w:t>2</w:t>
            </w:r>
          </w:p>
        </w:tc>
        <w:tc>
          <w:tcPr>
            <w:tcW w:w="3396" w:type="dxa"/>
          </w:tcPr>
          <w:p w14:paraId="576A0DF2" w14:textId="77777777" w:rsidR="00657D48" w:rsidRDefault="003F3EEB">
            <w:pPr>
              <w:spacing w:after="200"/>
            </w:pPr>
            <w:r>
              <w:t>1</w:t>
            </w:r>
          </w:p>
        </w:tc>
      </w:tr>
      <w:tr w:rsidR="00657D48" w14:paraId="49DE72A3" w14:textId="77777777">
        <w:tc>
          <w:tcPr>
            <w:tcW w:w="2263" w:type="dxa"/>
          </w:tcPr>
          <w:p w14:paraId="6948E378" w14:textId="77777777" w:rsidR="00657D48" w:rsidRDefault="003F3EEB">
            <w:pPr>
              <w:spacing w:after="200"/>
            </w:pPr>
            <w:r>
              <w:t>Todas las entidades</w:t>
            </w:r>
          </w:p>
        </w:tc>
        <w:tc>
          <w:tcPr>
            <w:tcW w:w="2268" w:type="dxa"/>
          </w:tcPr>
          <w:p w14:paraId="2C4B6ADB" w14:textId="77777777" w:rsidR="00657D48" w:rsidRDefault="003F3EEB">
            <w:pPr>
              <w:spacing w:after="200"/>
            </w:pPr>
            <w:r>
              <w:t>3</w:t>
            </w:r>
          </w:p>
        </w:tc>
        <w:tc>
          <w:tcPr>
            <w:tcW w:w="3396" w:type="dxa"/>
          </w:tcPr>
          <w:p w14:paraId="644F1B7D" w14:textId="77777777" w:rsidR="00657D48" w:rsidRDefault="003F3EEB">
            <w:pPr>
              <w:spacing w:after="200"/>
            </w:pPr>
            <w:r>
              <w:t>2</w:t>
            </w:r>
          </w:p>
        </w:tc>
      </w:tr>
    </w:tbl>
    <w:p w14:paraId="75E0A417" w14:textId="77777777" w:rsidR="00657D48" w:rsidRDefault="00657D48">
      <w:pPr>
        <w:spacing w:after="200"/>
        <w:jc w:val="both"/>
        <w:rPr>
          <w:rFonts w:ascii="Times New Roman" w:eastAsia="Times New Roman" w:hAnsi="Times New Roman" w:cs="Times New Roman"/>
        </w:rPr>
      </w:pPr>
    </w:p>
    <w:p w14:paraId="4603EE22" w14:textId="00B1B406" w:rsidR="00657D48"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lastRenderedPageBreak/>
        <w:t>Es importante que se desarrolle como mínimo las actividades antes mencionadas, pero para ello se debe incidir en el</w:t>
      </w:r>
      <w:r w:rsidR="00685982">
        <w:rPr>
          <w:rFonts w:ascii="Times New Roman" w:eastAsia="Times New Roman" w:hAnsi="Times New Roman" w:cs="Times New Roman"/>
        </w:rPr>
        <w:t xml:space="preserve"> monitoreo y</w:t>
      </w:r>
      <w:r w:rsidRPr="00A71C10">
        <w:rPr>
          <w:rFonts w:ascii="Times New Roman" w:eastAsia="Times New Roman" w:hAnsi="Times New Roman" w:cs="Times New Roman"/>
        </w:rPr>
        <w:t xml:space="preserve"> seguimiento del Plan de Preparación que permita evaluar el cumplimiento de la meta anualizada que ha planteado el instrumento, asimismo cada dos periodos se debe hacer la evaluación del Plan de Preparación que nos permita evaluar si la actividad, indicador y la meta establecida que se ha propuesto son los más adecuados y ayudan a la implementación del instrumento.</w:t>
      </w:r>
    </w:p>
    <w:p w14:paraId="1FD357DC" w14:textId="77777777" w:rsidR="00657D48" w:rsidRDefault="00657D48">
      <w:pPr>
        <w:spacing w:after="0" w:line="240" w:lineRule="auto"/>
        <w:rPr>
          <w:rFonts w:ascii="Times New Roman" w:eastAsia="Times New Roman" w:hAnsi="Times New Roman" w:cs="Times New Roman"/>
          <w:b/>
        </w:rPr>
      </w:pPr>
    </w:p>
    <w:p w14:paraId="09DE4DAB" w14:textId="77777777" w:rsidR="00657D48" w:rsidRDefault="003F3EEB">
      <w:pPr>
        <w:spacing w:after="200"/>
        <w:rPr>
          <w:rFonts w:ascii="Times New Roman" w:eastAsia="Times New Roman" w:hAnsi="Times New Roman" w:cs="Times New Roman"/>
          <w:b/>
        </w:rPr>
      </w:pPr>
      <w:r>
        <w:rPr>
          <w:rFonts w:ascii="Times New Roman" w:eastAsia="Times New Roman" w:hAnsi="Times New Roman" w:cs="Times New Roman"/>
          <w:b/>
        </w:rPr>
        <w:t>Proceso de respuesta</w:t>
      </w:r>
    </w:p>
    <w:p w14:paraId="30565C2F" w14:textId="4D417F41" w:rsidR="00657D48"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En relación a los procesos de respuesta, se propone la implementación de los planes de respuesta (POE, Planes de Contingencia, Plan de Continuidad Operativa) así como protocolos que permitan definir responsabilidades y acciones a realizar en una emergencia y/o desastre.</w:t>
      </w:r>
    </w:p>
    <w:p w14:paraId="2B50B048" w14:textId="77777777" w:rsidR="00A71C10" w:rsidRP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Aunque el proceso de respuesta abarca la emergencia, el óptimo desarrollo de esta actividad se genera en el proceso de Preparación donde se va generar capacidades organizacionales, humanas, técnicas, así como dotar de equipamiento que permita contar con los recursos materiales a ser utilizados cuando ocurra una emergencia y/o desastres.</w:t>
      </w:r>
    </w:p>
    <w:p w14:paraId="64BBBDBF" w14:textId="518796FE" w:rsidR="00A71C10" w:rsidRDefault="00A71C10" w:rsidP="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t>De los planes que se han mencionado el instrumento principal es el POE que señala las tareas a realizar por las entidades del Sector Defensa en base a los subprocesos de la respuesta que son: Conducción y coordinación, Análisis Operacional, Búsqueda y Salvamento, Salud, Comunicación, Logística para la respuesta, Asistencia Humanitaria y Movilización. Para el desarrollo de este instrumento se debe considerar el instrumento elaborado por INDECI titulado: "Lineamientos para la formulación y aprobación de los planes de operaciones de emergencia en los tres niveles de gobierno" aprobado bajo la RM N°136-2020-PCM, que regula como se debe elaborar estos instrumentos.</w:t>
      </w:r>
    </w:p>
    <w:p w14:paraId="2FD06CD7" w14:textId="510252C9" w:rsidR="00657D48" w:rsidRDefault="00A71C10">
      <w:pPr>
        <w:tabs>
          <w:tab w:val="left" w:pos="5594"/>
        </w:tabs>
        <w:jc w:val="both"/>
        <w:rPr>
          <w:rFonts w:ascii="Times New Roman" w:eastAsia="Times New Roman" w:hAnsi="Times New Roman" w:cs="Times New Roman"/>
        </w:rPr>
      </w:pPr>
      <w:r w:rsidRPr="00A71C10">
        <w:rPr>
          <w:rFonts w:ascii="Times New Roman" w:eastAsia="Times New Roman" w:hAnsi="Times New Roman" w:cs="Times New Roman"/>
        </w:rPr>
        <w:t>En base a los lineamientos elaborados por INDECI se debe elaborar el POE del Sector Defensa que debe considerar actividades en los 8 subprocesos de la respuesta como se señala en la siguiente matriz:</w:t>
      </w:r>
    </w:p>
    <w:tbl>
      <w:tblPr>
        <w:tblStyle w:val="af3"/>
        <w:tblW w:w="7927"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6"/>
        <w:gridCol w:w="6111"/>
      </w:tblGrid>
      <w:tr w:rsidR="00657D48" w14:paraId="3E224384" w14:textId="77777777">
        <w:trPr>
          <w:jc w:val="center"/>
        </w:trPr>
        <w:tc>
          <w:tcPr>
            <w:tcW w:w="1816" w:type="dxa"/>
          </w:tcPr>
          <w:p w14:paraId="69EC433A" w14:textId="77777777" w:rsidR="00657D48" w:rsidRDefault="003F3EEB">
            <w:pPr>
              <w:tabs>
                <w:tab w:val="left" w:pos="5594"/>
              </w:tabs>
            </w:pPr>
            <w:r>
              <w:lastRenderedPageBreak/>
              <w:t>Subprocesos</w:t>
            </w:r>
          </w:p>
        </w:tc>
        <w:tc>
          <w:tcPr>
            <w:tcW w:w="6111" w:type="dxa"/>
          </w:tcPr>
          <w:p w14:paraId="27DC0115" w14:textId="77777777" w:rsidR="00657D48" w:rsidRDefault="003F3EEB">
            <w:pPr>
              <w:tabs>
                <w:tab w:val="left" w:pos="5594"/>
              </w:tabs>
            </w:pPr>
            <w:r>
              <w:t xml:space="preserve">Actividades principales a realizar en el POE del Sector </w:t>
            </w:r>
          </w:p>
        </w:tc>
      </w:tr>
      <w:tr w:rsidR="00A71C10" w14:paraId="5F4D6FB2" w14:textId="77777777">
        <w:trPr>
          <w:jc w:val="center"/>
        </w:trPr>
        <w:tc>
          <w:tcPr>
            <w:tcW w:w="1816" w:type="dxa"/>
          </w:tcPr>
          <w:p w14:paraId="43850455" w14:textId="77777777" w:rsidR="00A71C10" w:rsidRDefault="00A71C10" w:rsidP="00A71C10">
            <w:pPr>
              <w:tabs>
                <w:tab w:val="left" w:pos="5594"/>
              </w:tabs>
              <w:jc w:val="center"/>
            </w:pPr>
            <w:r>
              <w:t>Conducción y Coordinación</w:t>
            </w:r>
          </w:p>
        </w:tc>
        <w:tc>
          <w:tcPr>
            <w:tcW w:w="6111" w:type="dxa"/>
          </w:tcPr>
          <w:p w14:paraId="33EBB821" w14:textId="77777777" w:rsidR="00A71C10" w:rsidRDefault="00A71C10" w:rsidP="00A71C10">
            <w:pPr>
              <w:pStyle w:val="TableParagraph"/>
              <w:spacing w:line="242" w:lineRule="auto"/>
              <w:ind w:left="106" w:right="100"/>
              <w:rPr>
                <w:sz w:val="20"/>
              </w:rPr>
            </w:pPr>
            <w:r>
              <w:rPr>
                <w:sz w:val="20"/>
              </w:rPr>
              <w:t>Se toma las decisiones de respuesta y se coordina con las otras entidades</w:t>
            </w:r>
            <w:r>
              <w:rPr>
                <w:spacing w:val="1"/>
                <w:sz w:val="20"/>
              </w:rPr>
              <w:t xml:space="preserve"> </w:t>
            </w:r>
            <w:r>
              <w:rPr>
                <w:sz w:val="20"/>
              </w:rPr>
              <w:t>del</w:t>
            </w:r>
            <w:r>
              <w:rPr>
                <w:spacing w:val="1"/>
                <w:sz w:val="20"/>
              </w:rPr>
              <w:t xml:space="preserve"> </w:t>
            </w:r>
            <w:r>
              <w:rPr>
                <w:sz w:val="20"/>
              </w:rPr>
              <w:t>SINAGERD</w:t>
            </w:r>
          </w:p>
          <w:p w14:paraId="7503A579" w14:textId="77777777" w:rsidR="00A71C10" w:rsidRDefault="00A71C10" w:rsidP="00A71C10">
            <w:pPr>
              <w:pStyle w:val="TableParagraph"/>
              <w:spacing w:line="242" w:lineRule="auto"/>
              <w:ind w:left="106" w:right="95"/>
              <w:rPr>
                <w:sz w:val="20"/>
              </w:rPr>
            </w:pPr>
            <w:r>
              <w:rPr>
                <w:sz w:val="20"/>
              </w:rPr>
              <w:t>Se difunde las notas de prensa, comunicados oficiales del Sector Defensa</w:t>
            </w:r>
            <w:r>
              <w:rPr>
                <w:spacing w:val="-47"/>
                <w:sz w:val="20"/>
              </w:rPr>
              <w:t xml:space="preserve"> </w:t>
            </w:r>
            <w:r>
              <w:rPr>
                <w:sz w:val="20"/>
              </w:rPr>
              <w:t>referente a</w:t>
            </w:r>
            <w:r>
              <w:rPr>
                <w:spacing w:val="1"/>
                <w:sz w:val="20"/>
              </w:rPr>
              <w:t xml:space="preserve"> </w:t>
            </w:r>
            <w:r>
              <w:rPr>
                <w:sz w:val="20"/>
              </w:rPr>
              <w:t>las</w:t>
            </w:r>
            <w:r>
              <w:rPr>
                <w:spacing w:val="-1"/>
                <w:sz w:val="20"/>
              </w:rPr>
              <w:t xml:space="preserve"> </w:t>
            </w:r>
            <w:r>
              <w:rPr>
                <w:sz w:val="20"/>
              </w:rPr>
              <w:t>acciones</w:t>
            </w:r>
            <w:r>
              <w:rPr>
                <w:spacing w:val="-1"/>
                <w:sz w:val="20"/>
              </w:rPr>
              <w:t xml:space="preserve"> </w:t>
            </w:r>
            <w:r>
              <w:rPr>
                <w:sz w:val="20"/>
              </w:rPr>
              <w:t>de respuesta</w:t>
            </w:r>
            <w:r>
              <w:rPr>
                <w:spacing w:val="1"/>
                <w:sz w:val="20"/>
              </w:rPr>
              <w:t xml:space="preserve"> </w:t>
            </w:r>
            <w:r>
              <w:rPr>
                <w:sz w:val="20"/>
              </w:rPr>
              <w:t>realizadas</w:t>
            </w:r>
          </w:p>
          <w:p w14:paraId="27F00AD8" w14:textId="77777777" w:rsidR="00A71C10" w:rsidRDefault="00A71C10" w:rsidP="00A71C10">
            <w:pPr>
              <w:pStyle w:val="TableParagraph"/>
              <w:spacing w:line="225" w:lineRule="exact"/>
              <w:ind w:left="106"/>
              <w:rPr>
                <w:sz w:val="20"/>
              </w:rPr>
            </w:pPr>
            <w:r>
              <w:rPr>
                <w:sz w:val="20"/>
              </w:rPr>
              <w:t>Se</w:t>
            </w:r>
            <w:r>
              <w:rPr>
                <w:spacing w:val="-1"/>
                <w:sz w:val="20"/>
              </w:rPr>
              <w:t xml:space="preserve"> </w:t>
            </w:r>
            <w:r>
              <w:rPr>
                <w:sz w:val="20"/>
              </w:rPr>
              <w:t>gestiona</w:t>
            </w:r>
            <w:r>
              <w:rPr>
                <w:spacing w:val="-1"/>
                <w:sz w:val="20"/>
              </w:rPr>
              <w:t xml:space="preserve"> </w:t>
            </w:r>
            <w:r>
              <w:rPr>
                <w:sz w:val="20"/>
              </w:rPr>
              <w:t>la información de las</w:t>
            </w:r>
            <w:r>
              <w:rPr>
                <w:spacing w:val="-3"/>
                <w:sz w:val="20"/>
              </w:rPr>
              <w:t xml:space="preserve"> </w:t>
            </w:r>
            <w:r>
              <w:rPr>
                <w:sz w:val="20"/>
              </w:rPr>
              <w:t>entidades</w:t>
            </w:r>
            <w:r>
              <w:rPr>
                <w:spacing w:val="-1"/>
                <w:sz w:val="20"/>
              </w:rPr>
              <w:t xml:space="preserve"> </w:t>
            </w:r>
            <w:r>
              <w:rPr>
                <w:sz w:val="20"/>
              </w:rPr>
              <w:t>técnico</w:t>
            </w:r>
            <w:r>
              <w:rPr>
                <w:spacing w:val="-5"/>
                <w:sz w:val="20"/>
              </w:rPr>
              <w:t xml:space="preserve"> </w:t>
            </w:r>
            <w:r>
              <w:rPr>
                <w:sz w:val="20"/>
              </w:rPr>
              <w:t>científicas</w:t>
            </w:r>
          </w:p>
          <w:p w14:paraId="3EDCCBEC" w14:textId="77777777" w:rsidR="00A71C10" w:rsidRDefault="00A71C10" w:rsidP="00A71C10">
            <w:pPr>
              <w:pStyle w:val="TableParagraph"/>
              <w:ind w:left="106" w:right="97"/>
              <w:rPr>
                <w:sz w:val="20"/>
              </w:rPr>
            </w:pPr>
            <w:r>
              <w:rPr>
                <w:sz w:val="20"/>
              </w:rPr>
              <w:t>Se</w:t>
            </w:r>
            <w:r>
              <w:rPr>
                <w:spacing w:val="1"/>
                <w:sz w:val="20"/>
              </w:rPr>
              <w:t xml:space="preserve"> </w:t>
            </w:r>
            <w:r>
              <w:rPr>
                <w:sz w:val="20"/>
              </w:rPr>
              <w:t>emite</w:t>
            </w:r>
            <w:r>
              <w:rPr>
                <w:spacing w:val="1"/>
                <w:sz w:val="20"/>
              </w:rPr>
              <w:t xml:space="preserve"> </w:t>
            </w:r>
            <w:r>
              <w:rPr>
                <w:sz w:val="20"/>
              </w:rPr>
              <w:t>los</w:t>
            </w:r>
            <w:r>
              <w:rPr>
                <w:spacing w:val="1"/>
                <w:sz w:val="20"/>
              </w:rPr>
              <w:t xml:space="preserve"> </w:t>
            </w:r>
            <w:r>
              <w:rPr>
                <w:sz w:val="20"/>
              </w:rPr>
              <w:t>Reportes</w:t>
            </w:r>
            <w:r>
              <w:rPr>
                <w:spacing w:val="1"/>
                <w:sz w:val="20"/>
              </w:rPr>
              <w:t xml:space="preserve"> </w:t>
            </w:r>
            <w:r>
              <w:rPr>
                <w:sz w:val="20"/>
              </w:rPr>
              <w:t>de</w:t>
            </w:r>
            <w:r>
              <w:rPr>
                <w:spacing w:val="1"/>
                <w:sz w:val="20"/>
              </w:rPr>
              <w:t xml:space="preserve"> </w:t>
            </w:r>
            <w:r>
              <w:rPr>
                <w:sz w:val="20"/>
              </w:rPr>
              <w:t>Avisos</w:t>
            </w:r>
            <w:r>
              <w:rPr>
                <w:spacing w:val="1"/>
                <w:sz w:val="20"/>
              </w:rPr>
              <w:t xml:space="preserve"> </w:t>
            </w:r>
            <w:r>
              <w:rPr>
                <w:sz w:val="20"/>
              </w:rPr>
              <w:t>y</w:t>
            </w:r>
            <w:r>
              <w:rPr>
                <w:spacing w:val="1"/>
                <w:sz w:val="20"/>
              </w:rPr>
              <w:t xml:space="preserve"> </w:t>
            </w:r>
            <w:r>
              <w:rPr>
                <w:sz w:val="20"/>
              </w:rPr>
              <w:t>Alertas</w:t>
            </w:r>
            <w:r>
              <w:rPr>
                <w:spacing w:val="1"/>
                <w:sz w:val="20"/>
              </w:rPr>
              <w:t xml:space="preserve"> </w:t>
            </w:r>
            <w:r>
              <w:rPr>
                <w:sz w:val="20"/>
              </w:rPr>
              <w:t>(RAA),</w:t>
            </w:r>
            <w:r>
              <w:rPr>
                <w:spacing w:val="1"/>
                <w:sz w:val="20"/>
              </w:rPr>
              <w:t xml:space="preserve"> </w:t>
            </w:r>
            <w:r>
              <w:rPr>
                <w:sz w:val="20"/>
              </w:rPr>
              <w:t>los</w:t>
            </w:r>
            <w:r>
              <w:rPr>
                <w:spacing w:val="1"/>
                <w:sz w:val="20"/>
              </w:rPr>
              <w:t xml:space="preserve"> </w:t>
            </w:r>
            <w:r>
              <w:rPr>
                <w:sz w:val="20"/>
              </w:rPr>
              <w:t>Reportes</w:t>
            </w:r>
            <w:r>
              <w:rPr>
                <w:spacing w:val="1"/>
                <w:sz w:val="20"/>
              </w:rPr>
              <w:t xml:space="preserve"> </w:t>
            </w:r>
            <w:r>
              <w:rPr>
                <w:sz w:val="20"/>
              </w:rPr>
              <w:t>de</w:t>
            </w:r>
            <w:r>
              <w:rPr>
                <w:spacing w:val="1"/>
                <w:sz w:val="20"/>
              </w:rPr>
              <w:t xml:space="preserve"> </w:t>
            </w:r>
            <w:r>
              <w:rPr>
                <w:sz w:val="20"/>
              </w:rPr>
              <w:t>Acciones Militares (RAM) y los Reporte de Daños y Requerimientos</w:t>
            </w:r>
            <w:r>
              <w:rPr>
                <w:spacing w:val="1"/>
                <w:sz w:val="20"/>
              </w:rPr>
              <w:t xml:space="preserve"> </w:t>
            </w:r>
            <w:r>
              <w:rPr>
                <w:sz w:val="20"/>
              </w:rPr>
              <w:t>(RDR)</w:t>
            </w:r>
          </w:p>
          <w:p w14:paraId="3787F334" w14:textId="77777777" w:rsidR="00A71C10" w:rsidRDefault="00A71C10" w:rsidP="00A71C10">
            <w:pPr>
              <w:pStyle w:val="TableParagraph"/>
              <w:spacing w:line="242" w:lineRule="auto"/>
              <w:ind w:left="106" w:right="1798"/>
              <w:rPr>
                <w:sz w:val="20"/>
              </w:rPr>
            </w:pPr>
            <w:r>
              <w:rPr>
                <w:sz w:val="20"/>
              </w:rPr>
              <w:t>Se</w:t>
            </w:r>
            <w:r>
              <w:rPr>
                <w:spacing w:val="-1"/>
                <w:sz w:val="20"/>
              </w:rPr>
              <w:t xml:space="preserve"> </w:t>
            </w:r>
            <w:r>
              <w:rPr>
                <w:sz w:val="20"/>
              </w:rPr>
              <w:t>activa</w:t>
            </w:r>
            <w:r>
              <w:rPr>
                <w:spacing w:val="-1"/>
                <w:sz w:val="20"/>
              </w:rPr>
              <w:t xml:space="preserve"> </w:t>
            </w:r>
            <w:r>
              <w:rPr>
                <w:sz w:val="20"/>
              </w:rPr>
              <w:t>los</w:t>
            </w:r>
            <w:r>
              <w:rPr>
                <w:spacing w:val="-2"/>
                <w:sz w:val="20"/>
              </w:rPr>
              <w:t xml:space="preserve"> </w:t>
            </w:r>
            <w:r>
              <w:rPr>
                <w:sz w:val="20"/>
              </w:rPr>
              <w:t>COAID</w:t>
            </w:r>
            <w:r>
              <w:rPr>
                <w:spacing w:val="-1"/>
                <w:sz w:val="20"/>
              </w:rPr>
              <w:t xml:space="preserve"> </w:t>
            </w:r>
            <w:r>
              <w:rPr>
                <w:sz w:val="20"/>
              </w:rPr>
              <w:t>a</w:t>
            </w:r>
            <w:r>
              <w:rPr>
                <w:spacing w:val="-1"/>
                <w:sz w:val="20"/>
              </w:rPr>
              <w:t xml:space="preserve"> </w:t>
            </w:r>
            <w:r>
              <w:rPr>
                <w:sz w:val="20"/>
              </w:rPr>
              <w:t>través</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CCOO</w:t>
            </w:r>
            <w:r>
              <w:rPr>
                <w:spacing w:val="-1"/>
                <w:sz w:val="20"/>
              </w:rPr>
              <w:t xml:space="preserve"> </w:t>
            </w:r>
            <w:r>
              <w:rPr>
                <w:sz w:val="20"/>
              </w:rPr>
              <w:t>y</w:t>
            </w:r>
            <w:r>
              <w:rPr>
                <w:spacing w:val="-1"/>
                <w:sz w:val="20"/>
              </w:rPr>
              <w:t xml:space="preserve"> </w:t>
            </w:r>
            <w:r>
              <w:rPr>
                <w:sz w:val="20"/>
              </w:rPr>
              <w:t>CCEE</w:t>
            </w:r>
            <w:r>
              <w:rPr>
                <w:spacing w:val="-48"/>
                <w:sz w:val="20"/>
              </w:rPr>
              <w:t xml:space="preserve"> </w:t>
            </w:r>
            <w:r>
              <w:rPr>
                <w:sz w:val="20"/>
              </w:rPr>
              <w:t>Los</w:t>
            </w:r>
            <w:r>
              <w:rPr>
                <w:spacing w:val="-1"/>
                <w:sz w:val="20"/>
              </w:rPr>
              <w:t xml:space="preserve"> </w:t>
            </w:r>
            <w:r>
              <w:rPr>
                <w:sz w:val="20"/>
              </w:rPr>
              <w:t>CCOO y</w:t>
            </w:r>
            <w:r>
              <w:rPr>
                <w:spacing w:val="1"/>
                <w:sz w:val="20"/>
              </w:rPr>
              <w:t xml:space="preserve"> </w:t>
            </w:r>
            <w:r>
              <w:rPr>
                <w:sz w:val="20"/>
              </w:rPr>
              <w:t>CCEE</w:t>
            </w:r>
            <w:r>
              <w:rPr>
                <w:spacing w:val="2"/>
                <w:sz w:val="20"/>
              </w:rPr>
              <w:t xml:space="preserve"> </w:t>
            </w:r>
            <w:r>
              <w:rPr>
                <w:sz w:val="20"/>
              </w:rPr>
              <w:t>activan los COAID.</w:t>
            </w:r>
          </w:p>
          <w:p w14:paraId="7589DCE4" w14:textId="77777777" w:rsidR="00A71C10" w:rsidRDefault="00A71C10" w:rsidP="00A71C10">
            <w:pPr>
              <w:pStyle w:val="TableParagraph"/>
              <w:spacing w:line="226" w:lineRule="exact"/>
              <w:ind w:left="106"/>
              <w:rPr>
                <w:sz w:val="20"/>
              </w:rPr>
            </w:pPr>
            <w:r>
              <w:rPr>
                <w:sz w:val="20"/>
              </w:rPr>
              <w:t>Recepciona</w:t>
            </w:r>
            <w:r>
              <w:rPr>
                <w:spacing w:val="43"/>
                <w:sz w:val="20"/>
              </w:rPr>
              <w:t xml:space="preserve"> </w:t>
            </w:r>
            <w:r>
              <w:rPr>
                <w:sz w:val="20"/>
              </w:rPr>
              <w:t>los</w:t>
            </w:r>
            <w:r>
              <w:rPr>
                <w:spacing w:val="42"/>
                <w:sz w:val="20"/>
              </w:rPr>
              <w:t xml:space="preserve"> </w:t>
            </w:r>
            <w:r>
              <w:rPr>
                <w:sz w:val="20"/>
              </w:rPr>
              <w:t>requerimientos</w:t>
            </w:r>
            <w:r>
              <w:rPr>
                <w:spacing w:val="42"/>
                <w:sz w:val="20"/>
              </w:rPr>
              <w:t xml:space="preserve"> </w:t>
            </w:r>
            <w:r>
              <w:rPr>
                <w:sz w:val="20"/>
              </w:rPr>
              <w:t>de</w:t>
            </w:r>
            <w:r>
              <w:rPr>
                <w:spacing w:val="39"/>
                <w:sz w:val="20"/>
              </w:rPr>
              <w:t xml:space="preserve"> </w:t>
            </w:r>
            <w:r>
              <w:rPr>
                <w:sz w:val="20"/>
              </w:rPr>
              <w:t>recursos</w:t>
            </w:r>
            <w:r>
              <w:rPr>
                <w:spacing w:val="42"/>
                <w:sz w:val="20"/>
              </w:rPr>
              <w:t xml:space="preserve"> </w:t>
            </w:r>
            <w:r>
              <w:rPr>
                <w:sz w:val="20"/>
              </w:rPr>
              <w:t>materiales</w:t>
            </w:r>
            <w:r>
              <w:rPr>
                <w:spacing w:val="42"/>
                <w:sz w:val="20"/>
              </w:rPr>
              <w:t xml:space="preserve"> </w:t>
            </w:r>
            <w:r>
              <w:rPr>
                <w:sz w:val="20"/>
              </w:rPr>
              <w:t>y</w:t>
            </w:r>
            <w:r>
              <w:rPr>
                <w:spacing w:val="43"/>
                <w:sz w:val="20"/>
              </w:rPr>
              <w:t xml:space="preserve"> </w:t>
            </w:r>
            <w:r>
              <w:rPr>
                <w:sz w:val="20"/>
              </w:rPr>
              <w:t>humanos</w:t>
            </w:r>
            <w:r>
              <w:rPr>
                <w:spacing w:val="41"/>
                <w:sz w:val="20"/>
              </w:rPr>
              <w:t xml:space="preserve"> </w:t>
            </w:r>
            <w:r>
              <w:rPr>
                <w:sz w:val="20"/>
              </w:rPr>
              <w:t>que</w:t>
            </w:r>
          </w:p>
          <w:p w14:paraId="0325E1A0" w14:textId="44EC1036" w:rsidR="00A71C10" w:rsidRDefault="00A71C10" w:rsidP="00A71C10">
            <w:pPr>
              <w:tabs>
                <w:tab w:val="left" w:pos="5594"/>
              </w:tabs>
            </w:pPr>
            <w:r>
              <w:t>requiera</w:t>
            </w:r>
            <w:r>
              <w:rPr>
                <w:spacing w:val="-1"/>
              </w:rPr>
              <w:t xml:space="preserve"> </w:t>
            </w:r>
            <w:r>
              <w:t>para la</w:t>
            </w:r>
            <w:r>
              <w:rPr>
                <w:spacing w:val="-4"/>
              </w:rPr>
              <w:t xml:space="preserve"> </w:t>
            </w:r>
            <w:r>
              <w:t>respuesta.</w:t>
            </w:r>
          </w:p>
        </w:tc>
      </w:tr>
      <w:tr w:rsidR="00A71C10" w14:paraId="25D67DF4" w14:textId="77777777">
        <w:trPr>
          <w:jc w:val="center"/>
        </w:trPr>
        <w:tc>
          <w:tcPr>
            <w:tcW w:w="1816" w:type="dxa"/>
          </w:tcPr>
          <w:p w14:paraId="38C2DED3" w14:textId="77777777" w:rsidR="00A71C10" w:rsidRDefault="00A71C10" w:rsidP="00A71C10">
            <w:pPr>
              <w:tabs>
                <w:tab w:val="left" w:pos="5594"/>
              </w:tabs>
              <w:jc w:val="center"/>
            </w:pPr>
            <w:r>
              <w:t>Análisis Operacional</w:t>
            </w:r>
          </w:p>
        </w:tc>
        <w:tc>
          <w:tcPr>
            <w:tcW w:w="6111" w:type="dxa"/>
          </w:tcPr>
          <w:p w14:paraId="6423E61A" w14:textId="77777777" w:rsidR="00A71C10" w:rsidRDefault="00A71C10" w:rsidP="00A71C10">
            <w:pPr>
              <w:pStyle w:val="TableParagraph"/>
              <w:ind w:left="106" w:right="99"/>
              <w:rPr>
                <w:sz w:val="20"/>
              </w:rPr>
            </w:pPr>
            <w:r>
              <w:rPr>
                <w:sz w:val="20"/>
              </w:rPr>
              <w:t>Se</w:t>
            </w:r>
            <w:r>
              <w:rPr>
                <w:spacing w:val="-4"/>
                <w:sz w:val="20"/>
              </w:rPr>
              <w:t xml:space="preserve"> </w:t>
            </w:r>
            <w:r>
              <w:rPr>
                <w:sz w:val="20"/>
              </w:rPr>
              <w:t>recibe</w:t>
            </w:r>
            <w:r>
              <w:rPr>
                <w:spacing w:val="-3"/>
                <w:sz w:val="20"/>
              </w:rPr>
              <w:t xml:space="preserve"> </w:t>
            </w:r>
            <w:r>
              <w:rPr>
                <w:sz w:val="20"/>
              </w:rPr>
              <w:t>los</w:t>
            </w:r>
            <w:r>
              <w:rPr>
                <w:spacing w:val="-5"/>
                <w:sz w:val="20"/>
              </w:rPr>
              <w:t xml:space="preserve"> </w:t>
            </w:r>
            <w:r>
              <w:rPr>
                <w:sz w:val="20"/>
              </w:rPr>
              <w:t>Reportes</w:t>
            </w:r>
            <w:r>
              <w:rPr>
                <w:spacing w:val="-5"/>
                <w:sz w:val="20"/>
              </w:rPr>
              <w:t xml:space="preserve"> </w:t>
            </w:r>
            <w:r>
              <w:rPr>
                <w:sz w:val="20"/>
              </w:rPr>
              <w:t>de</w:t>
            </w:r>
            <w:r>
              <w:rPr>
                <w:spacing w:val="-3"/>
                <w:sz w:val="20"/>
              </w:rPr>
              <w:t xml:space="preserve"> </w:t>
            </w:r>
            <w:r>
              <w:rPr>
                <w:sz w:val="20"/>
              </w:rPr>
              <w:t>Daños</w:t>
            </w:r>
            <w:r>
              <w:rPr>
                <w:spacing w:val="-5"/>
                <w:sz w:val="20"/>
              </w:rPr>
              <w:t xml:space="preserve"> </w:t>
            </w:r>
            <w:r>
              <w:rPr>
                <w:sz w:val="20"/>
              </w:rPr>
              <w:t>y</w:t>
            </w:r>
            <w:r>
              <w:rPr>
                <w:spacing w:val="-2"/>
                <w:sz w:val="20"/>
              </w:rPr>
              <w:t xml:space="preserve"> </w:t>
            </w:r>
            <w:r>
              <w:rPr>
                <w:sz w:val="20"/>
              </w:rPr>
              <w:t>Requerimientos</w:t>
            </w:r>
            <w:r>
              <w:rPr>
                <w:spacing w:val="-4"/>
                <w:sz w:val="20"/>
              </w:rPr>
              <w:t xml:space="preserve"> </w:t>
            </w:r>
            <w:r>
              <w:rPr>
                <w:sz w:val="20"/>
              </w:rPr>
              <w:t>(RDR)</w:t>
            </w:r>
            <w:r>
              <w:rPr>
                <w:spacing w:val="-2"/>
                <w:sz w:val="20"/>
              </w:rPr>
              <w:t xml:space="preserve"> </w:t>
            </w:r>
            <w:r>
              <w:rPr>
                <w:sz w:val="20"/>
              </w:rPr>
              <w:t>para</w:t>
            </w:r>
            <w:r>
              <w:rPr>
                <w:spacing w:val="-3"/>
                <w:sz w:val="20"/>
              </w:rPr>
              <w:t xml:space="preserve"> </w:t>
            </w:r>
            <w:r>
              <w:rPr>
                <w:sz w:val="20"/>
              </w:rPr>
              <w:t>la</w:t>
            </w:r>
            <w:r>
              <w:rPr>
                <w:spacing w:val="-3"/>
                <w:sz w:val="20"/>
              </w:rPr>
              <w:t xml:space="preserve"> </w:t>
            </w:r>
            <w:r>
              <w:rPr>
                <w:sz w:val="20"/>
              </w:rPr>
              <w:t>toma</w:t>
            </w:r>
            <w:r>
              <w:rPr>
                <w:spacing w:val="-4"/>
                <w:sz w:val="20"/>
              </w:rPr>
              <w:t xml:space="preserve"> </w:t>
            </w:r>
            <w:r>
              <w:rPr>
                <w:sz w:val="20"/>
              </w:rPr>
              <w:t>de</w:t>
            </w:r>
            <w:r>
              <w:rPr>
                <w:spacing w:val="-47"/>
                <w:sz w:val="20"/>
              </w:rPr>
              <w:t xml:space="preserve"> </w:t>
            </w:r>
            <w:r>
              <w:rPr>
                <w:sz w:val="20"/>
              </w:rPr>
              <w:t>decisiones</w:t>
            </w:r>
            <w:r>
              <w:rPr>
                <w:spacing w:val="-2"/>
                <w:sz w:val="20"/>
              </w:rPr>
              <w:t xml:space="preserve"> </w:t>
            </w:r>
            <w:r>
              <w:rPr>
                <w:sz w:val="20"/>
              </w:rPr>
              <w:t>del</w:t>
            </w:r>
            <w:r>
              <w:rPr>
                <w:spacing w:val="2"/>
                <w:sz w:val="20"/>
              </w:rPr>
              <w:t xml:space="preserve"> </w:t>
            </w:r>
            <w:r>
              <w:rPr>
                <w:sz w:val="20"/>
              </w:rPr>
              <w:t>GT-GRD.</w:t>
            </w:r>
          </w:p>
          <w:p w14:paraId="269E66B2" w14:textId="503F6C4E" w:rsidR="00A71C10" w:rsidRDefault="00A71C10" w:rsidP="00A71C10">
            <w:r>
              <w:t>Apoya</w:t>
            </w:r>
            <w:r>
              <w:rPr>
                <w:spacing w:val="7"/>
              </w:rPr>
              <w:t xml:space="preserve"> </w:t>
            </w:r>
            <w:r>
              <w:t>al</w:t>
            </w:r>
            <w:r>
              <w:rPr>
                <w:spacing w:val="5"/>
              </w:rPr>
              <w:t xml:space="preserve"> </w:t>
            </w:r>
            <w:r>
              <w:t>INDECI</w:t>
            </w:r>
            <w:r>
              <w:rPr>
                <w:spacing w:val="6"/>
              </w:rPr>
              <w:t xml:space="preserve"> </w:t>
            </w:r>
            <w:r>
              <w:t>en</w:t>
            </w:r>
            <w:r>
              <w:rPr>
                <w:spacing w:val="4"/>
              </w:rPr>
              <w:t xml:space="preserve"> </w:t>
            </w:r>
            <w:r>
              <w:t>el</w:t>
            </w:r>
            <w:r>
              <w:rPr>
                <w:spacing w:val="5"/>
              </w:rPr>
              <w:t xml:space="preserve"> </w:t>
            </w:r>
            <w:r>
              <w:t>traslado</w:t>
            </w:r>
            <w:r>
              <w:rPr>
                <w:spacing w:val="8"/>
              </w:rPr>
              <w:t xml:space="preserve"> </w:t>
            </w:r>
            <w:r>
              <w:t>de</w:t>
            </w:r>
            <w:r>
              <w:rPr>
                <w:spacing w:val="5"/>
              </w:rPr>
              <w:t xml:space="preserve"> </w:t>
            </w:r>
            <w:r>
              <w:t>los</w:t>
            </w:r>
            <w:r>
              <w:rPr>
                <w:spacing w:val="3"/>
              </w:rPr>
              <w:t xml:space="preserve"> </w:t>
            </w:r>
            <w:r>
              <w:t>recursos</w:t>
            </w:r>
            <w:r>
              <w:rPr>
                <w:spacing w:val="7"/>
              </w:rPr>
              <w:t xml:space="preserve"> </w:t>
            </w:r>
            <w:r>
              <w:t>y medios</w:t>
            </w:r>
            <w:r>
              <w:rPr>
                <w:spacing w:val="11"/>
              </w:rPr>
              <w:t xml:space="preserve"> </w:t>
            </w:r>
            <w:r>
              <w:t>nacionales</w:t>
            </w:r>
            <w:r>
              <w:rPr>
                <w:spacing w:val="7"/>
              </w:rPr>
              <w:t xml:space="preserve"> </w:t>
            </w:r>
            <w:r>
              <w:t>a</w:t>
            </w:r>
            <w:r>
              <w:rPr>
                <w:spacing w:val="8"/>
              </w:rPr>
              <w:t xml:space="preserve"> </w:t>
            </w:r>
            <w:r>
              <w:t>la</w:t>
            </w:r>
            <w:r>
              <w:rPr>
                <w:spacing w:val="-47"/>
              </w:rPr>
              <w:t xml:space="preserve"> </w:t>
            </w:r>
            <w:r>
              <w:t>zona de</w:t>
            </w:r>
            <w:r>
              <w:rPr>
                <w:spacing w:val="1"/>
              </w:rPr>
              <w:t xml:space="preserve"> </w:t>
            </w:r>
            <w:r>
              <w:t>desastre.</w:t>
            </w:r>
          </w:p>
        </w:tc>
      </w:tr>
      <w:tr w:rsidR="00A71C10" w14:paraId="5472B901" w14:textId="77777777">
        <w:trPr>
          <w:jc w:val="center"/>
        </w:trPr>
        <w:tc>
          <w:tcPr>
            <w:tcW w:w="1816" w:type="dxa"/>
          </w:tcPr>
          <w:p w14:paraId="30AAB177" w14:textId="77777777" w:rsidR="00A71C10" w:rsidRDefault="00A71C10" w:rsidP="00A71C10">
            <w:pPr>
              <w:widowControl w:val="0"/>
              <w:jc w:val="center"/>
            </w:pPr>
          </w:p>
          <w:p w14:paraId="1F66E212" w14:textId="77777777" w:rsidR="00A71C10" w:rsidRDefault="00A71C10" w:rsidP="00A71C10">
            <w:pPr>
              <w:widowControl w:val="0"/>
              <w:jc w:val="center"/>
            </w:pPr>
          </w:p>
          <w:p w14:paraId="48FB9D16" w14:textId="77777777" w:rsidR="00A71C10" w:rsidRDefault="00A71C10" w:rsidP="00A71C10">
            <w:pPr>
              <w:widowControl w:val="0"/>
              <w:jc w:val="center"/>
            </w:pPr>
            <w:r>
              <w:t>Búsqueda y Salvamento</w:t>
            </w:r>
          </w:p>
          <w:p w14:paraId="77C638F2" w14:textId="77777777" w:rsidR="00A71C10" w:rsidRDefault="00A71C10" w:rsidP="00A71C10">
            <w:pPr>
              <w:tabs>
                <w:tab w:val="left" w:pos="5594"/>
              </w:tabs>
              <w:jc w:val="center"/>
            </w:pPr>
          </w:p>
        </w:tc>
        <w:tc>
          <w:tcPr>
            <w:tcW w:w="6111" w:type="dxa"/>
          </w:tcPr>
          <w:p w14:paraId="7FED5EEC" w14:textId="77777777" w:rsidR="00A71C10" w:rsidRDefault="00A71C10" w:rsidP="00A71C10">
            <w:pPr>
              <w:pStyle w:val="TableParagraph"/>
              <w:ind w:left="106" w:right="94"/>
              <w:rPr>
                <w:sz w:val="20"/>
              </w:rPr>
            </w:pPr>
            <w:r>
              <w:rPr>
                <w:sz w:val="20"/>
              </w:rPr>
              <w:t>Los</w:t>
            </w:r>
            <w:r>
              <w:rPr>
                <w:spacing w:val="1"/>
                <w:sz w:val="20"/>
              </w:rPr>
              <w:t xml:space="preserve"> </w:t>
            </w:r>
            <w:r>
              <w:rPr>
                <w:sz w:val="20"/>
              </w:rPr>
              <w:t>COAID</w:t>
            </w:r>
            <w:r>
              <w:rPr>
                <w:spacing w:val="1"/>
                <w:sz w:val="20"/>
              </w:rPr>
              <w:t xml:space="preserve"> </w:t>
            </w:r>
            <w:r>
              <w:rPr>
                <w:sz w:val="20"/>
              </w:rPr>
              <w:t>quienes</w:t>
            </w:r>
            <w:r>
              <w:rPr>
                <w:spacing w:val="1"/>
                <w:sz w:val="20"/>
              </w:rPr>
              <w:t xml:space="preserve"> </w:t>
            </w:r>
            <w:r>
              <w:rPr>
                <w:sz w:val="20"/>
              </w:rPr>
              <w:t>coordinarán</w:t>
            </w:r>
            <w:r>
              <w:rPr>
                <w:spacing w:val="1"/>
                <w:sz w:val="20"/>
              </w:rPr>
              <w:t xml:space="preserve"> </w:t>
            </w:r>
            <w:r>
              <w:rPr>
                <w:sz w:val="20"/>
              </w:rPr>
              <w:t>con</w:t>
            </w:r>
            <w:r>
              <w:rPr>
                <w:spacing w:val="1"/>
                <w:sz w:val="20"/>
              </w:rPr>
              <w:t xml:space="preserve"> </w:t>
            </w:r>
            <w:r>
              <w:rPr>
                <w:sz w:val="20"/>
              </w:rPr>
              <w:t>la</w:t>
            </w:r>
            <w:r>
              <w:rPr>
                <w:spacing w:val="1"/>
                <w:sz w:val="20"/>
              </w:rPr>
              <w:t xml:space="preserve"> </w:t>
            </w:r>
            <w:r>
              <w:rPr>
                <w:sz w:val="20"/>
              </w:rPr>
              <w:t>autoridad</w:t>
            </w:r>
            <w:r>
              <w:rPr>
                <w:spacing w:val="1"/>
                <w:sz w:val="20"/>
              </w:rPr>
              <w:t xml:space="preserve"> </w:t>
            </w:r>
            <w:r>
              <w:rPr>
                <w:sz w:val="20"/>
              </w:rPr>
              <w:t>competente</w:t>
            </w:r>
            <w:r>
              <w:rPr>
                <w:spacing w:val="1"/>
                <w:sz w:val="20"/>
              </w:rPr>
              <w:t xml:space="preserve"> </w:t>
            </w:r>
            <w:r>
              <w:rPr>
                <w:sz w:val="20"/>
              </w:rPr>
              <w:t>las</w:t>
            </w:r>
            <w:r>
              <w:rPr>
                <w:spacing w:val="1"/>
                <w:sz w:val="20"/>
              </w:rPr>
              <w:t xml:space="preserve"> </w:t>
            </w:r>
            <w:r>
              <w:rPr>
                <w:sz w:val="20"/>
              </w:rPr>
              <w:t>evacuaciones y desplazamiento de las personas, trasbordos y traslados a</w:t>
            </w:r>
            <w:r>
              <w:rPr>
                <w:spacing w:val="1"/>
                <w:sz w:val="20"/>
              </w:rPr>
              <w:t xml:space="preserve"> </w:t>
            </w:r>
            <w:r>
              <w:rPr>
                <w:sz w:val="20"/>
              </w:rPr>
              <w:t>zonas</w:t>
            </w:r>
            <w:r>
              <w:rPr>
                <w:spacing w:val="-1"/>
                <w:sz w:val="20"/>
              </w:rPr>
              <w:t xml:space="preserve"> </w:t>
            </w:r>
            <w:r>
              <w:rPr>
                <w:sz w:val="20"/>
              </w:rPr>
              <w:t>seguras con</w:t>
            </w:r>
            <w:r>
              <w:rPr>
                <w:spacing w:val="1"/>
                <w:sz w:val="20"/>
              </w:rPr>
              <w:t xml:space="preserve"> </w:t>
            </w:r>
            <w:r>
              <w:rPr>
                <w:sz w:val="20"/>
              </w:rPr>
              <w:t>su</w:t>
            </w:r>
            <w:r>
              <w:rPr>
                <w:spacing w:val="1"/>
                <w:sz w:val="20"/>
              </w:rPr>
              <w:t xml:space="preserve"> </w:t>
            </w:r>
            <w:r>
              <w:rPr>
                <w:sz w:val="20"/>
              </w:rPr>
              <w:t>personal</w:t>
            </w:r>
            <w:r>
              <w:rPr>
                <w:spacing w:val="1"/>
                <w:sz w:val="20"/>
              </w:rPr>
              <w:t xml:space="preserve"> </w:t>
            </w:r>
            <w:r>
              <w:rPr>
                <w:sz w:val="20"/>
              </w:rPr>
              <w:t>y</w:t>
            </w:r>
            <w:r>
              <w:rPr>
                <w:spacing w:val="1"/>
                <w:sz w:val="20"/>
              </w:rPr>
              <w:t xml:space="preserve"> </w:t>
            </w:r>
            <w:r>
              <w:rPr>
                <w:sz w:val="20"/>
              </w:rPr>
              <w:t>vehículos</w:t>
            </w:r>
          </w:p>
          <w:p w14:paraId="720F6A6D" w14:textId="505F79F8" w:rsidR="00A71C10" w:rsidRDefault="00A71C10" w:rsidP="00A71C10">
            <w:pPr>
              <w:tabs>
                <w:tab w:val="left" w:pos="5594"/>
              </w:tabs>
            </w:pPr>
            <w:r>
              <w:t>Las CIRDs realizan las operaciones de Búsqueda y Rescate en las zonas</w:t>
            </w:r>
            <w:r>
              <w:rPr>
                <w:spacing w:val="1"/>
              </w:rPr>
              <w:t xml:space="preserve"> </w:t>
            </w:r>
            <w:r>
              <w:t>de la</w:t>
            </w:r>
            <w:r>
              <w:rPr>
                <w:spacing w:val="1"/>
              </w:rPr>
              <w:t xml:space="preserve"> </w:t>
            </w:r>
            <w:r>
              <w:t>emergencia</w:t>
            </w:r>
            <w:r>
              <w:rPr>
                <w:spacing w:val="1"/>
              </w:rPr>
              <w:t xml:space="preserve"> </w:t>
            </w:r>
            <w:r>
              <w:t>y/o</w:t>
            </w:r>
            <w:r>
              <w:rPr>
                <w:spacing w:val="2"/>
              </w:rPr>
              <w:t xml:space="preserve"> </w:t>
            </w:r>
            <w:r>
              <w:t>desastre.</w:t>
            </w:r>
          </w:p>
        </w:tc>
      </w:tr>
      <w:tr w:rsidR="00A71C10" w14:paraId="3AD03368" w14:textId="77777777">
        <w:trPr>
          <w:jc w:val="center"/>
        </w:trPr>
        <w:tc>
          <w:tcPr>
            <w:tcW w:w="1816" w:type="dxa"/>
          </w:tcPr>
          <w:p w14:paraId="50303A4C" w14:textId="77777777" w:rsidR="00A71C10" w:rsidRDefault="00A71C10" w:rsidP="00A71C10">
            <w:pPr>
              <w:jc w:val="center"/>
            </w:pPr>
            <w:r>
              <w:t>Salud</w:t>
            </w:r>
          </w:p>
          <w:p w14:paraId="653954C4" w14:textId="77777777" w:rsidR="00A71C10" w:rsidRDefault="00A71C10" w:rsidP="00A71C10">
            <w:pPr>
              <w:widowControl w:val="0"/>
              <w:jc w:val="center"/>
            </w:pPr>
          </w:p>
        </w:tc>
        <w:tc>
          <w:tcPr>
            <w:tcW w:w="6111" w:type="dxa"/>
          </w:tcPr>
          <w:p w14:paraId="0894B329" w14:textId="77777777" w:rsidR="00A71C10" w:rsidRDefault="00A71C10" w:rsidP="00A71C10">
            <w:pPr>
              <w:pStyle w:val="TableParagraph"/>
              <w:spacing w:line="226" w:lineRule="exact"/>
              <w:ind w:left="106"/>
              <w:rPr>
                <w:sz w:val="20"/>
              </w:rPr>
            </w:pPr>
            <w:r>
              <w:rPr>
                <w:sz w:val="20"/>
              </w:rPr>
              <w:t>Las</w:t>
            </w:r>
            <w:r>
              <w:rPr>
                <w:spacing w:val="43"/>
                <w:sz w:val="20"/>
              </w:rPr>
              <w:t xml:space="preserve"> </w:t>
            </w:r>
            <w:r>
              <w:rPr>
                <w:sz w:val="20"/>
              </w:rPr>
              <w:t>IIAA</w:t>
            </w:r>
            <w:r>
              <w:rPr>
                <w:spacing w:val="44"/>
                <w:sz w:val="20"/>
              </w:rPr>
              <w:t xml:space="preserve"> </w:t>
            </w:r>
            <w:r>
              <w:rPr>
                <w:sz w:val="20"/>
              </w:rPr>
              <w:t>proporcionan</w:t>
            </w:r>
            <w:r>
              <w:rPr>
                <w:spacing w:val="44"/>
                <w:sz w:val="20"/>
              </w:rPr>
              <w:t xml:space="preserve"> </w:t>
            </w:r>
            <w:r>
              <w:rPr>
                <w:sz w:val="20"/>
              </w:rPr>
              <w:t>el</w:t>
            </w:r>
            <w:r>
              <w:rPr>
                <w:spacing w:val="45"/>
                <w:sz w:val="20"/>
              </w:rPr>
              <w:t xml:space="preserve"> </w:t>
            </w:r>
            <w:r>
              <w:rPr>
                <w:sz w:val="20"/>
              </w:rPr>
              <w:t>apoyo</w:t>
            </w:r>
            <w:r>
              <w:rPr>
                <w:spacing w:val="44"/>
                <w:sz w:val="20"/>
              </w:rPr>
              <w:t xml:space="preserve"> </w:t>
            </w:r>
            <w:r>
              <w:rPr>
                <w:sz w:val="20"/>
              </w:rPr>
              <w:t>necesario</w:t>
            </w:r>
            <w:r>
              <w:rPr>
                <w:spacing w:val="45"/>
                <w:sz w:val="20"/>
              </w:rPr>
              <w:t xml:space="preserve"> </w:t>
            </w:r>
            <w:r>
              <w:rPr>
                <w:sz w:val="20"/>
              </w:rPr>
              <w:t>con</w:t>
            </w:r>
            <w:r>
              <w:rPr>
                <w:spacing w:val="44"/>
                <w:sz w:val="20"/>
              </w:rPr>
              <w:t xml:space="preserve"> </w:t>
            </w:r>
            <w:r>
              <w:rPr>
                <w:sz w:val="20"/>
              </w:rPr>
              <w:t>las</w:t>
            </w:r>
            <w:r>
              <w:rPr>
                <w:spacing w:val="42"/>
                <w:sz w:val="20"/>
              </w:rPr>
              <w:t xml:space="preserve"> </w:t>
            </w:r>
            <w:r>
              <w:rPr>
                <w:sz w:val="20"/>
              </w:rPr>
              <w:t>Brigadas</w:t>
            </w:r>
            <w:r>
              <w:rPr>
                <w:spacing w:val="43"/>
                <w:sz w:val="20"/>
              </w:rPr>
              <w:t xml:space="preserve"> </w:t>
            </w:r>
            <w:r>
              <w:rPr>
                <w:sz w:val="20"/>
              </w:rPr>
              <w:t>médico-</w:t>
            </w:r>
          </w:p>
          <w:p w14:paraId="6375D744" w14:textId="4BA9F240" w:rsidR="00A71C10" w:rsidRDefault="00A71C10" w:rsidP="00A71C10">
            <w:r>
              <w:t>tácticas</w:t>
            </w:r>
            <w:r>
              <w:rPr>
                <w:spacing w:val="10"/>
              </w:rPr>
              <w:t xml:space="preserve"> </w:t>
            </w:r>
            <w:r>
              <w:t>a</w:t>
            </w:r>
            <w:r>
              <w:rPr>
                <w:spacing w:val="11"/>
              </w:rPr>
              <w:t xml:space="preserve"> </w:t>
            </w:r>
            <w:r>
              <w:t>nivel</w:t>
            </w:r>
            <w:r>
              <w:rPr>
                <w:spacing w:val="11"/>
              </w:rPr>
              <w:t xml:space="preserve"> </w:t>
            </w:r>
            <w:r>
              <w:t>nacional,</w:t>
            </w:r>
            <w:r>
              <w:rPr>
                <w:spacing w:val="14"/>
              </w:rPr>
              <w:t xml:space="preserve"> </w:t>
            </w:r>
            <w:r>
              <w:t>a</w:t>
            </w:r>
            <w:r>
              <w:rPr>
                <w:spacing w:val="7"/>
              </w:rPr>
              <w:t xml:space="preserve"> </w:t>
            </w:r>
            <w:r>
              <w:t>requerimiento</w:t>
            </w:r>
            <w:r>
              <w:rPr>
                <w:spacing w:val="7"/>
              </w:rPr>
              <w:t xml:space="preserve"> </w:t>
            </w:r>
            <w:r>
              <w:t>del</w:t>
            </w:r>
            <w:r>
              <w:rPr>
                <w:spacing w:val="13"/>
              </w:rPr>
              <w:t xml:space="preserve"> </w:t>
            </w:r>
            <w:r>
              <w:t>MINSA,</w:t>
            </w:r>
            <w:r>
              <w:rPr>
                <w:spacing w:val="13"/>
              </w:rPr>
              <w:t xml:space="preserve"> </w:t>
            </w:r>
            <w:r>
              <w:t>así</w:t>
            </w:r>
            <w:r>
              <w:rPr>
                <w:spacing w:val="12"/>
              </w:rPr>
              <w:t xml:space="preserve"> </w:t>
            </w:r>
            <w:r>
              <w:t>como</w:t>
            </w:r>
            <w:r>
              <w:rPr>
                <w:spacing w:val="9"/>
              </w:rPr>
              <w:t xml:space="preserve"> </w:t>
            </w:r>
            <w:r>
              <w:t>también</w:t>
            </w:r>
            <w:r>
              <w:rPr>
                <w:spacing w:val="-47"/>
              </w:rPr>
              <w:t xml:space="preserve"> </w:t>
            </w:r>
            <w:r>
              <w:t>brindan el</w:t>
            </w:r>
            <w:r>
              <w:rPr>
                <w:spacing w:val="1"/>
              </w:rPr>
              <w:t xml:space="preserve"> </w:t>
            </w:r>
            <w:r>
              <w:t>apoyo necesario</w:t>
            </w:r>
            <w:r>
              <w:rPr>
                <w:spacing w:val="2"/>
              </w:rPr>
              <w:t xml:space="preserve"> </w:t>
            </w:r>
            <w:r>
              <w:t>con</w:t>
            </w:r>
            <w:r>
              <w:rPr>
                <w:spacing w:val="-4"/>
              </w:rPr>
              <w:t xml:space="preserve"> </w:t>
            </w:r>
            <w:r>
              <w:t>los</w:t>
            </w:r>
            <w:r>
              <w:rPr>
                <w:spacing w:val="-1"/>
              </w:rPr>
              <w:t xml:space="preserve"> </w:t>
            </w:r>
            <w:r>
              <w:t>centros de salud de</w:t>
            </w:r>
            <w:r>
              <w:rPr>
                <w:spacing w:val="1"/>
              </w:rPr>
              <w:t xml:space="preserve"> </w:t>
            </w:r>
            <w:r>
              <w:t>las</w:t>
            </w:r>
            <w:r>
              <w:rPr>
                <w:spacing w:val="-2"/>
              </w:rPr>
              <w:t xml:space="preserve"> </w:t>
            </w:r>
            <w:r>
              <w:t>FFAA.</w:t>
            </w:r>
          </w:p>
        </w:tc>
      </w:tr>
      <w:tr w:rsidR="00A71C10" w14:paraId="0814B972" w14:textId="77777777">
        <w:trPr>
          <w:jc w:val="center"/>
        </w:trPr>
        <w:tc>
          <w:tcPr>
            <w:tcW w:w="1816" w:type="dxa"/>
          </w:tcPr>
          <w:p w14:paraId="6050DF3E" w14:textId="77777777" w:rsidR="00A71C10" w:rsidRDefault="00A71C10" w:rsidP="00A71C10">
            <w:pPr>
              <w:tabs>
                <w:tab w:val="left" w:pos="1279"/>
              </w:tabs>
            </w:pPr>
          </w:p>
          <w:p w14:paraId="19912BC9" w14:textId="77777777" w:rsidR="00A71C10" w:rsidRDefault="00A71C10" w:rsidP="00A71C10">
            <w:pPr>
              <w:tabs>
                <w:tab w:val="left" w:pos="1279"/>
              </w:tabs>
              <w:jc w:val="center"/>
            </w:pPr>
          </w:p>
          <w:p w14:paraId="714984D3" w14:textId="77777777" w:rsidR="00A71C10" w:rsidRDefault="00A71C10" w:rsidP="00A71C10">
            <w:pPr>
              <w:tabs>
                <w:tab w:val="left" w:pos="1279"/>
              </w:tabs>
              <w:jc w:val="center"/>
            </w:pPr>
          </w:p>
          <w:p w14:paraId="2C798572" w14:textId="77777777" w:rsidR="00A71C10" w:rsidRDefault="00A71C10" w:rsidP="00A71C10">
            <w:pPr>
              <w:tabs>
                <w:tab w:val="left" w:pos="1279"/>
              </w:tabs>
            </w:pPr>
            <w:r>
              <w:t>Comunicaciones</w:t>
            </w:r>
          </w:p>
          <w:p w14:paraId="4D012461" w14:textId="77777777" w:rsidR="00A71C10" w:rsidRDefault="00A71C10" w:rsidP="00A71C10">
            <w:pPr>
              <w:jc w:val="center"/>
            </w:pPr>
          </w:p>
        </w:tc>
        <w:tc>
          <w:tcPr>
            <w:tcW w:w="6111" w:type="dxa"/>
          </w:tcPr>
          <w:p w14:paraId="384F4DE9" w14:textId="77777777" w:rsidR="00A71C10" w:rsidRDefault="00A71C10" w:rsidP="00A71C10">
            <w:pPr>
              <w:pStyle w:val="TableParagraph"/>
              <w:spacing w:line="242" w:lineRule="auto"/>
              <w:ind w:left="106" w:right="97"/>
              <w:rPr>
                <w:sz w:val="20"/>
              </w:rPr>
            </w:pPr>
            <w:r>
              <w:rPr>
                <w:sz w:val="20"/>
              </w:rPr>
              <w:t>Se</w:t>
            </w:r>
            <w:r>
              <w:rPr>
                <w:spacing w:val="11"/>
                <w:sz w:val="20"/>
              </w:rPr>
              <w:t xml:space="preserve"> </w:t>
            </w:r>
            <w:r>
              <w:rPr>
                <w:sz w:val="20"/>
              </w:rPr>
              <w:t>mantiene</w:t>
            </w:r>
            <w:r>
              <w:rPr>
                <w:spacing w:val="10"/>
                <w:sz w:val="20"/>
              </w:rPr>
              <w:t xml:space="preserve"> </w:t>
            </w:r>
            <w:r>
              <w:rPr>
                <w:sz w:val="20"/>
              </w:rPr>
              <w:t>activo</w:t>
            </w:r>
            <w:r>
              <w:rPr>
                <w:spacing w:val="11"/>
                <w:sz w:val="20"/>
              </w:rPr>
              <w:t xml:space="preserve"> </w:t>
            </w:r>
            <w:r>
              <w:rPr>
                <w:sz w:val="20"/>
              </w:rPr>
              <w:t>su</w:t>
            </w:r>
            <w:r>
              <w:rPr>
                <w:spacing w:val="11"/>
                <w:sz w:val="20"/>
              </w:rPr>
              <w:t xml:space="preserve"> </w:t>
            </w:r>
            <w:r>
              <w:rPr>
                <w:sz w:val="20"/>
              </w:rPr>
              <w:t>espacio</w:t>
            </w:r>
            <w:r>
              <w:rPr>
                <w:spacing w:val="12"/>
                <w:sz w:val="20"/>
              </w:rPr>
              <w:t xml:space="preserve"> </w:t>
            </w:r>
            <w:r>
              <w:rPr>
                <w:sz w:val="20"/>
              </w:rPr>
              <w:t>de</w:t>
            </w:r>
            <w:r>
              <w:rPr>
                <w:spacing w:val="11"/>
                <w:sz w:val="20"/>
              </w:rPr>
              <w:t xml:space="preserve"> </w:t>
            </w:r>
            <w:r>
              <w:rPr>
                <w:sz w:val="20"/>
              </w:rPr>
              <w:t>monitoreo</w:t>
            </w:r>
            <w:r>
              <w:rPr>
                <w:spacing w:val="11"/>
                <w:sz w:val="20"/>
              </w:rPr>
              <w:t xml:space="preserve"> </w:t>
            </w:r>
            <w:r>
              <w:rPr>
                <w:sz w:val="20"/>
              </w:rPr>
              <w:t>(PC),</w:t>
            </w:r>
            <w:r>
              <w:rPr>
                <w:spacing w:val="10"/>
                <w:sz w:val="20"/>
              </w:rPr>
              <w:t xml:space="preserve"> </w:t>
            </w:r>
            <w:r>
              <w:rPr>
                <w:sz w:val="20"/>
              </w:rPr>
              <w:t>en</w:t>
            </w:r>
            <w:r>
              <w:rPr>
                <w:spacing w:val="11"/>
                <w:sz w:val="20"/>
              </w:rPr>
              <w:t xml:space="preserve"> </w:t>
            </w:r>
            <w:r>
              <w:rPr>
                <w:sz w:val="20"/>
              </w:rPr>
              <w:t>enlace</w:t>
            </w:r>
            <w:r>
              <w:rPr>
                <w:spacing w:val="11"/>
                <w:sz w:val="20"/>
              </w:rPr>
              <w:t xml:space="preserve"> </w:t>
            </w:r>
            <w:r>
              <w:rPr>
                <w:sz w:val="20"/>
              </w:rPr>
              <w:t>permanente</w:t>
            </w:r>
            <w:r>
              <w:rPr>
                <w:spacing w:val="-47"/>
                <w:sz w:val="20"/>
              </w:rPr>
              <w:t xml:space="preserve"> </w:t>
            </w:r>
            <w:r>
              <w:rPr>
                <w:sz w:val="20"/>
              </w:rPr>
              <w:t>con el</w:t>
            </w:r>
            <w:r>
              <w:rPr>
                <w:spacing w:val="2"/>
                <w:sz w:val="20"/>
              </w:rPr>
              <w:t xml:space="preserve"> </w:t>
            </w:r>
            <w:r>
              <w:rPr>
                <w:sz w:val="20"/>
              </w:rPr>
              <w:t>COES-MINDEF.</w:t>
            </w:r>
          </w:p>
          <w:p w14:paraId="2F6D1D95" w14:textId="556CC38D" w:rsidR="00A71C10" w:rsidRDefault="00A71C10" w:rsidP="00A71C10">
            <w:r>
              <w:t>Se</w:t>
            </w:r>
            <w:r>
              <w:rPr>
                <w:spacing w:val="-9"/>
              </w:rPr>
              <w:t xml:space="preserve"> </w:t>
            </w:r>
            <w:r>
              <w:t>activan</w:t>
            </w:r>
            <w:r>
              <w:rPr>
                <w:spacing w:val="-7"/>
              </w:rPr>
              <w:t xml:space="preserve"> </w:t>
            </w:r>
            <w:r>
              <w:t>los</w:t>
            </w:r>
            <w:r>
              <w:rPr>
                <w:spacing w:val="-9"/>
              </w:rPr>
              <w:t xml:space="preserve"> </w:t>
            </w:r>
            <w:r>
              <w:t>canales</w:t>
            </w:r>
            <w:r>
              <w:rPr>
                <w:spacing w:val="-10"/>
              </w:rPr>
              <w:t xml:space="preserve"> </w:t>
            </w:r>
            <w:r>
              <w:t>de</w:t>
            </w:r>
            <w:r>
              <w:rPr>
                <w:spacing w:val="-8"/>
              </w:rPr>
              <w:t xml:space="preserve"> </w:t>
            </w:r>
            <w:r>
              <w:t>comunicación</w:t>
            </w:r>
            <w:r>
              <w:rPr>
                <w:spacing w:val="-7"/>
              </w:rPr>
              <w:t xml:space="preserve"> </w:t>
            </w:r>
            <w:r>
              <w:t>y</w:t>
            </w:r>
            <w:r>
              <w:rPr>
                <w:spacing w:val="-7"/>
              </w:rPr>
              <w:t xml:space="preserve"> </w:t>
            </w:r>
            <w:r>
              <w:t>se</w:t>
            </w:r>
            <w:r>
              <w:rPr>
                <w:spacing w:val="-9"/>
              </w:rPr>
              <w:t xml:space="preserve"> </w:t>
            </w:r>
            <w:r>
              <w:t>hace</w:t>
            </w:r>
            <w:r>
              <w:rPr>
                <w:spacing w:val="-8"/>
              </w:rPr>
              <w:t xml:space="preserve"> </w:t>
            </w:r>
            <w:r>
              <w:t>empleo</w:t>
            </w:r>
            <w:r>
              <w:rPr>
                <w:spacing w:val="-7"/>
              </w:rPr>
              <w:t xml:space="preserve"> </w:t>
            </w:r>
            <w:r>
              <w:t>del</w:t>
            </w:r>
            <w:r>
              <w:rPr>
                <w:spacing w:val="-7"/>
              </w:rPr>
              <w:t xml:space="preserve"> </w:t>
            </w:r>
            <w:r>
              <w:t>canal</w:t>
            </w:r>
            <w:r>
              <w:rPr>
                <w:spacing w:val="-7"/>
              </w:rPr>
              <w:t xml:space="preserve"> </w:t>
            </w:r>
            <w:r>
              <w:t>técnico</w:t>
            </w:r>
            <w:r>
              <w:rPr>
                <w:spacing w:val="-47"/>
              </w:rPr>
              <w:t xml:space="preserve"> </w:t>
            </w:r>
            <w:r>
              <w:t>como</w:t>
            </w:r>
            <w:r>
              <w:rPr>
                <w:spacing w:val="1"/>
              </w:rPr>
              <w:t xml:space="preserve"> </w:t>
            </w:r>
            <w:r>
              <w:t>medio prioritario</w:t>
            </w:r>
            <w:r>
              <w:rPr>
                <w:spacing w:val="-3"/>
              </w:rPr>
              <w:t xml:space="preserve"> </w:t>
            </w:r>
            <w:r>
              <w:t>para dar</w:t>
            </w:r>
            <w:r>
              <w:rPr>
                <w:spacing w:val="-1"/>
              </w:rPr>
              <w:t xml:space="preserve"> </w:t>
            </w:r>
            <w:r>
              <w:t>cuenta de las</w:t>
            </w:r>
            <w:r>
              <w:rPr>
                <w:spacing w:val="-2"/>
              </w:rPr>
              <w:t xml:space="preserve"> </w:t>
            </w:r>
            <w:r>
              <w:t>Acciones Militares.</w:t>
            </w:r>
          </w:p>
        </w:tc>
      </w:tr>
      <w:tr w:rsidR="00A71C10" w14:paraId="491F0236" w14:textId="77777777">
        <w:trPr>
          <w:jc w:val="center"/>
        </w:trPr>
        <w:tc>
          <w:tcPr>
            <w:tcW w:w="1816" w:type="dxa"/>
          </w:tcPr>
          <w:p w14:paraId="1E1AF580" w14:textId="77777777" w:rsidR="00A71C10" w:rsidRDefault="00A71C10" w:rsidP="00A71C10"/>
          <w:p w14:paraId="0B48F3FD" w14:textId="77777777" w:rsidR="00A71C10" w:rsidRDefault="00A71C10" w:rsidP="00A71C10"/>
          <w:p w14:paraId="08C4E524" w14:textId="77777777" w:rsidR="00A71C10" w:rsidRDefault="00A71C10" w:rsidP="00A71C10">
            <w:pPr>
              <w:jc w:val="center"/>
            </w:pPr>
          </w:p>
          <w:p w14:paraId="04973A59" w14:textId="77777777" w:rsidR="00A71C10" w:rsidRDefault="00A71C10" w:rsidP="00A71C10">
            <w:pPr>
              <w:tabs>
                <w:tab w:val="left" w:pos="1279"/>
              </w:tabs>
              <w:jc w:val="center"/>
            </w:pPr>
            <w:r>
              <w:t>Logística para la respuesta</w:t>
            </w:r>
          </w:p>
        </w:tc>
        <w:tc>
          <w:tcPr>
            <w:tcW w:w="6111" w:type="dxa"/>
          </w:tcPr>
          <w:p w14:paraId="5FE56060" w14:textId="77777777" w:rsidR="00A71C10" w:rsidRDefault="00A71C10" w:rsidP="00A71C10">
            <w:pPr>
              <w:pStyle w:val="TableParagraph"/>
              <w:spacing w:line="242" w:lineRule="auto"/>
              <w:ind w:left="106" w:right="93"/>
              <w:rPr>
                <w:sz w:val="20"/>
              </w:rPr>
            </w:pPr>
            <w:r>
              <w:rPr>
                <w:sz w:val="20"/>
              </w:rPr>
              <w:t>Dispone</w:t>
            </w:r>
            <w:r>
              <w:rPr>
                <w:spacing w:val="11"/>
                <w:sz w:val="20"/>
              </w:rPr>
              <w:t xml:space="preserve"> </w:t>
            </w:r>
            <w:r>
              <w:rPr>
                <w:sz w:val="20"/>
              </w:rPr>
              <w:t>el</w:t>
            </w:r>
            <w:r>
              <w:rPr>
                <w:spacing w:val="13"/>
                <w:sz w:val="20"/>
              </w:rPr>
              <w:t xml:space="preserve"> </w:t>
            </w:r>
            <w:r>
              <w:rPr>
                <w:sz w:val="20"/>
              </w:rPr>
              <w:t>empleo</w:t>
            </w:r>
            <w:r>
              <w:rPr>
                <w:spacing w:val="12"/>
                <w:sz w:val="20"/>
              </w:rPr>
              <w:t xml:space="preserve"> </w:t>
            </w:r>
            <w:r>
              <w:rPr>
                <w:sz w:val="20"/>
              </w:rPr>
              <w:t>de</w:t>
            </w:r>
            <w:r>
              <w:rPr>
                <w:spacing w:val="11"/>
                <w:sz w:val="20"/>
              </w:rPr>
              <w:t xml:space="preserve"> </w:t>
            </w:r>
            <w:r>
              <w:rPr>
                <w:sz w:val="20"/>
              </w:rPr>
              <w:t>los</w:t>
            </w:r>
            <w:r>
              <w:rPr>
                <w:spacing w:val="11"/>
                <w:sz w:val="20"/>
              </w:rPr>
              <w:t xml:space="preserve"> </w:t>
            </w:r>
            <w:r>
              <w:rPr>
                <w:sz w:val="20"/>
              </w:rPr>
              <w:t>recursos</w:t>
            </w:r>
            <w:r>
              <w:rPr>
                <w:spacing w:val="11"/>
                <w:sz w:val="20"/>
              </w:rPr>
              <w:t xml:space="preserve"> </w:t>
            </w:r>
            <w:r>
              <w:rPr>
                <w:sz w:val="20"/>
              </w:rPr>
              <w:t>disponibles</w:t>
            </w:r>
            <w:r>
              <w:rPr>
                <w:spacing w:val="11"/>
                <w:sz w:val="20"/>
              </w:rPr>
              <w:t xml:space="preserve"> </w:t>
            </w:r>
            <w:r>
              <w:rPr>
                <w:sz w:val="20"/>
              </w:rPr>
              <w:t>del</w:t>
            </w:r>
            <w:r>
              <w:rPr>
                <w:spacing w:val="16"/>
                <w:sz w:val="20"/>
              </w:rPr>
              <w:t xml:space="preserve"> </w:t>
            </w:r>
            <w:r>
              <w:rPr>
                <w:sz w:val="20"/>
              </w:rPr>
              <w:t>sector</w:t>
            </w:r>
            <w:r>
              <w:rPr>
                <w:spacing w:val="14"/>
                <w:sz w:val="20"/>
              </w:rPr>
              <w:t xml:space="preserve"> </w:t>
            </w:r>
            <w:r>
              <w:rPr>
                <w:sz w:val="20"/>
              </w:rPr>
              <w:t>para</w:t>
            </w:r>
            <w:r>
              <w:rPr>
                <w:spacing w:val="12"/>
                <w:sz w:val="20"/>
              </w:rPr>
              <w:t xml:space="preserve"> </w:t>
            </w:r>
            <w:r>
              <w:rPr>
                <w:sz w:val="20"/>
              </w:rPr>
              <w:t>atender</w:t>
            </w:r>
            <w:r>
              <w:rPr>
                <w:spacing w:val="13"/>
                <w:sz w:val="20"/>
              </w:rPr>
              <w:t xml:space="preserve"> </w:t>
            </w:r>
            <w:r>
              <w:rPr>
                <w:sz w:val="20"/>
              </w:rPr>
              <w:t>la</w:t>
            </w:r>
            <w:r>
              <w:rPr>
                <w:spacing w:val="-47"/>
                <w:sz w:val="20"/>
              </w:rPr>
              <w:t xml:space="preserve"> </w:t>
            </w:r>
            <w:r>
              <w:rPr>
                <w:sz w:val="20"/>
              </w:rPr>
              <w:t>emergencia o</w:t>
            </w:r>
            <w:r>
              <w:rPr>
                <w:spacing w:val="1"/>
                <w:sz w:val="20"/>
              </w:rPr>
              <w:t xml:space="preserve"> </w:t>
            </w:r>
            <w:r>
              <w:rPr>
                <w:sz w:val="20"/>
              </w:rPr>
              <w:t>desastre.</w:t>
            </w:r>
          </w:p>
          <w:p w14:paraId="57072B8F" w14:textId="191E0928" w:rsidR="00A71C10" w:rsidRDefault="00A71C10" w:rsidP="00A71C10">
            <w:pPr>
              <w:pStyle w:val="TableParagraph"/>
              <w:spacing w:line="225" w:lineRule="exact"/>
              <w:ind w:left="106"/>
            </w:pPr>
            <w:r>
              <w:rPr>
                <w:sz w:val="20"/>
              </w:rPr>
              <w:t>Apoya</w:t>
            </w:r>
            <w:r>
              <w:rPr>
                <w:spacing w:val="31"/>
                <w:sz w:val="20"/>
              </w:rPr>
              <w:t xml:space="preserve"> </w:t>
            </w:r>
            <w:r>
              <w:rPr>
                <w:sz w:val="20"/>
              </w:rPr>
              <w:t>en</w:t>
            </w:r>
            <w:r>
              <w:rPr>
                <w:spacing w:val="32"/>
                <w:sz w:val="20"/>
              </w:rPr>
              <w:t xml:space="preserve"> </w:t>
            </w:r>
            <w:r>
              <w:rPr>
                <w:sz w:val="20"/>
              </w:rPr>
              <w:t>la</w:t>
            </w:r>
            <w:r>
              <w:rPr>
                <w:spacing w:val="32"/>
                <w:sz w:val="20"/>
              </w:rPr>
              <w:t xml:space="preserve"> </w:t>
            </w:r>
            <w:r>
              <w:rPr>
                <w:sz w:val="20"/>
              </w:rPr>
              <w:t>distribución</w:t>
            </w:r>
            <w:r>
              <w:rPr>
                <w:spacing w:val="33"/>
                <w:sz w:val="20"/>
              </w:rPr>
              <w:t xml:space="preserve"> </w:t>
            </w:r>
            <w:r>
              <w:rPr>
                <w:sz w:val="20"/>
              </w:rPr>
              <w:t>de</w:t>
            </w:r>
            <w:r>
              <w:rPr>
                <w:spacing w:val="32"/>
                <w:sz w:val="20"/>
              </w:rPr>
              <w:t xml:space="preserve"> </w:t>
            </w:r>
            <w:r>
              <w:rPr>
                <w:sz w:val="20"/>
              </w:rPr>
              <w:t>bienes</w:t>
            </w:r>
            <w:r>
              <w:rPr>
                <w:spacing w:val="31"/>
                <w:sz w:val="20"/>
              </w:rPr>
              <w:t xml:space="preserve"> </w:t>
            </w:r>
            <w:r>
              <w:rPr>
                <w:sz w:val="20"/>
              </w:rPr>
              <w:t>de</w:t>
            </w:r>
            <w:r>
              <w:rPr>
                <w:spacing w:val="33"/>
                <w:sz w:val="20"/>
              </w:rPr>
              <w:t xml:space="preserve"> </w:t>
            </w:r>
            <w:r>
              <w:rPr>
                <w:sz w:val="20"/>
              </w:rPr>
              <w:t>ayuda</w:t>
            </w:r>
            <w:r>
              <w:rPr>
                <w:spacing w:val="32"/>
                <w:sz w:val="20"/>
              </w:rPr>
              <w:t xml:space="preserve"> </w:t>
            </w:r>
            <w:r>
              <w:rPr>
                <w:sz w:val="20"/>
              </w:rPr>
              <w:t>humanitaria,</w:t>
            </w:r>
            <w:r>
              <w:rPr>
                <w:spacing w:val="32"/>
                <w:sz w:val="20"/>
              </w:rPr>
              <w:t xml:space="preserve"> </w:t>
            </w:r>
            <w:r>
              <w:rPr>
                <w:sz w:val="20"/>
              </w:rPr>
              <w:t>así</w:t>
            </w:r>
            <w:r>
              <w:rPr>
                <w:spacing w:val="34"/>
                <w:sz w:val="20"/>
              </w:rPr>
              <w:t xml:space="preserve"> </w:t>
            </w:r>
            <w:r>
              <w:rPr>
                <w:sz w:val="20"/>
              </w:rPr>
              <w:t>como</w:t>
            </w:r>
            <w:r>
              <w:rPr>
                <w:spacing w:val="33"/>
                <w:sz w:val="20"/>
              </w:rPr>
              <w:t xml:space="preserve"> </w:t>
            </w:r>
            <w:r>
              <w:rPr>
                <w:sz w:val="20"/>
              </w:rPr>
              <w:t>se brinda</w:t>
            </w:r>
            <w:r>
              <w:rPr>
                <w:spacing w:val="7"/>
                <w:sz w:val="20"/>
              </w:rPr>
              <w:t xml:space="preserve"> </w:t>
            </w:r>
            <w:r>
              <w:rPr>
                <w:sz w:val="20"/>
              </w:rPr>
              <w:t>el</w:t>
            </w:r>
            <w:r>
              <w:rPr>
                <w:spacing w:val="5"/>
                <w:sz w:val="20"/>
              </w:rPr>
              <w:t xml:space="preserve"> </w:t>
            </w:r>
            <w:r>
              <w:rPr>
                <w:sz w:val="20"/>
              </w:rPr>
              <w:t>soporte</w:t>
            </w:r>
            <w:r>
              <w:rPr>
                <w:spacing w:val="3"/>
                <w:sz w:val="20"/>
              </w:rPr>
              <w:t xml:space="preserve"> </w:t>
            </w:r>
            <w:r>
              <w:rPr>
                <w:sz w:val="20"/>
              </w:rPr>
              <w:t>logístico</w:t>
            </w:r>
            <w:r>
              <w:rPr>
                <w:spacing w:val="4"/>
                <w:sz w:val="20"/>
              </w:rPr>
              <w:t xml:space="preserve"> </w:t>
            </w:r>
            <w:r>
              <w:rPr>
                <w:sz w:val="20"/>
              </w:rPr>
              <w:t>al</w:t>
            </w:r>
            <w:r>
              <w:rPr>
                <w:spacing w:val="8"/>
                <w:sz w:val="20"/>
              </w:rPr>
              <w:t xml:space="preserve"> </w:t>
            </w:r>
            <w:r>
              <w:rPr>
                <w:sz w:val="20"/>
              </w:rPr>
              <w:t>CCFFAA</w:t>
            </w:r>
            <w:r>
              <w:rPr>
                <w:spacing w:val="4"/>
                <w:sz w:val="20"/>
              </w:rPr>
              <w:t xml:space="preserve"> </w:t>
            </w:r>
            <w:r>
              <w:rPr>
                <w:sz w:val="20"/>
              </w:rPr>
              <w:t>para</w:t>
            </w:r>
            <w:r>
              <w:rPr>
                <w:spacing w:val="3"/>
                <w:sz w:val="20"/>
              </w:rPr>
              <w:t xml:space="preserve"> </w:t>
            </w:r>
            <w:r>
              <w:rPr>
                <w:sz w:val="20"/>
              </w:rPr>
              <w:t>el</w:t>
            </w:r>
            <w:r>
              <w:rPr>
                <w:spacing w:val="5"/>
                <w:sz w:val="20"/>
              </w:rPr>
              <w:t xml:space="preserve"> </w:t>
            </w:r>
            <w:r>
              <w:rPr>
                <w:sz w:val="20"/>
              </w:rPr>
              <w:t>traslado</w:t>
            </w:r>
            <w:r>
              <w:rPr>
                <w:spacing w:val="7"/>
                <w:sz w:val="20"/>
              </w:rPr>
              <w:t xml:space="preserve"> </w:t>
            </w:r>
            <w:r>
              <w:rPr>
                <w:sz w:val="20"/>
              </w:rPr>
              <w:t>de</w:t>
            </w:r>
            <w:r>
              <w:rPr>
                <w:spacing w:val="4"/>
                <w:sz w:val="20"/>
              </w:rPr>
              <w:t xml:space="preserve"> </w:t>
            </w:r>
            <w:r>
              <w:rPr>
                <w:sz w:val="20"/>
              </w:rPr>
              <w:t>suministros</w:t>
            </w:r>
            <w:r>
              <w:rPr>
                <w:spacing w:val="7"/>
                <w:sz w:val="20"/>
              </w:rPr>
              <w:t xml:space="preserve"> </w:t>
            </w:r>
            <w:r>
              <w:rPr>
                <w:sz w:val="20"/>
              </w:rPr>
              <w:t>en</w:t>
            </w:r>
            <w:r>
              <w:rPr>
                <w:spacing w:val="-47"/>
                <w:sz w:val="20"/>
              </w:rPr>
              <w:t xml:space="preserve"> </w:t>
            </w:r>
            <w:r>
              <w:rPr>
                <w:sz w:val="20"/>
              </w:rPr>
              <w:t>cantidades</w:t>
            </w:r>
            <w:r>
              <w:rPr>
                <w:spacing w:val="-1"/>
                <w:sz w:val="20"/>
              </w:rPr>
              <w:t xml:space="preserve"> </w:t>
            </w:r>
            <w:r>
              <w:rPr>
                <w:sz w:val="20"/>
              </w:rPr>
              <w:t>requeridas y</w:t>
            </w:r>
            <w:r>
              <w:rPr>
                <w:spacing w:val="1"/>
                <w:sz w:val="20"/>
              </w:rPr>
              <w:t xml:space="preserve"> </w:t>
            </w:r>
            <w:r>
              <w:rPr>
                <w:sz w:val="20"/>
              </w:rPr>
              <w:t>el</w:t>
            </w:r>
            <w:r>
              <w:rPr>
                <w:spacing w:val="1"/>
                <w:sz w:val="20"/>
              </w:rPr>
              <w:t xml:space="preserve"> </w:t>
            </w:r>
            <w:r>
              <w:rPr>
                <w:sz w:val="20"/>
              </w:rPr>
              <w:t>personal</w:t>
            </w:r>
            <w:r>
              <w:rPr>
                <w:spacing w:val="2"/>
                <w:sz w:val="20"/>
              </w:rPr>
              <w:t xml:space="preserve"> </w:t>
            </w:r>
            <w:r>
              <w:rPr>
                <w:sz w:val="20"/>
              </w:rPr>
              <w:t>necesario.</w:t>
            </w:r>
          </w:p>
        </w:tc>
      </w:tr>
      <w:tr w:rsidR="00A71C10" w14:paraId="043EE379" w14:textId="77777777">
        <w:trPr>
          <w:jc w:val="center"/>
        </w:trPr>
        <w:tc>
          <w:tcPr>
            <w:tcW w:w="1816" w:type="dxa"/>
          </w:tcPr>
          <w:p w14:paraId="45A4B5B9" w14:textId="77777777" w:rsidR="00A71C10" w:rsidRDefault="00A71C10" w:rsidP="00A71C10">
            <w:pPr>
              <w:jc w:val="center"/>
            </w:pPr>
          </w:p>
          <w:p w14:paraId="5ADC4775" w14:textId="77777777" w:rsidR="00A71C10" w:rsidRDefault="00A71C10" w:rsidP="00A71C10">
            <w:pPr>
              <w:jc w:val="center"/>
            </w:pPr>
          </w:p>
          <w:p w14:paraId="4FAE37C2" w14:textId="77777777" w:rsidR="00A71C10" w:rsidRDefault="00A71C10" w:rsidP="00A71C10">
            <w:pPr>
              <w:jc w:val="center"/>
            </w:pPr>
          </w:p>
          <w:p w14:paraId="699DE8A9" w14:textId="77777777" w:rsidR="00A71C10" w:rsidRDefault="00A71C10" w:rsidP="00A71C10">
            <w:pPr>
              <w:jc w:val="center"/>
            </w:pPr>
            <w:r>
              <w:t>Asistencia Humanitaria</w:t>
            </w:r>
          </w:p>
          <w:p w14:paraId="69F39DC4" w14:textId="77777777" w:rsidR="00A71C10" w:rsidRDefault="00A71C10" w:rsidP="00A71C10"/>
        </w:tc>
        <w:tc>
          <w:tcPr>
            <w:tcW w:w="6111" w:type="dxa"/>
          </w:tcPr>
          <w:p w14:paraId="106315DF" w14:textId="77777777" w:rsidR="00A71C10" w:rsidRDefault="00A71C10" w:rsidP="00A71C10">
            <w:pPr>
              <w:pStyle w:val="TableParagraph"/>
              <w:ind w:left="106" w:right="97"/>
              <w:rPr>
                <w:sz w:val="20"/>
              </w:rPr>
            </w:pPr>
            <w:r>
              <w:rPr>
                <w:sz w:val="20"/>
              </w:rPr>
              <w:t>Coordina con INDECI la participación en la entrega de bienes de ayuda</w:t>
            </w:r>
            <w:r>
              <w:rPr>
                <w:spacing w:val="1"/>
                <w:sz w:val="20"/>
              </w:rPr>
              <w:t xml:space="preserve"> </w:t>
            </w:r>
            <w:r>
              <w:rPr>
                <w:sz w:val="20"/>
              </w:rPr>
              <w:t>humanitaria</w:t>
            </w:r>
            <w:r>
              <w:rPr>
                <w:spacing w:val="1"/>
                <w:sz w:val="20"/>
              </w:rPr>
              <w:t xml:space="preserve"> </w:t>
            </w:r>
            <w:r>
              <w:rPr>
                <w:sz w:val="20"/>
              </w:rPr>
              <w:t>y</w:t>
            </w:r>
            <w:r>
              <w:rPr>
                <w:spacing w:val="1"/>
                <w:sz w:val="20"/>
              </w:rPr>
              <w:t xml:space="preserve"> </w:t>
            </w:r>
            <w:r>
              <w:rPr>
                <w:sz w:val="20"/>
              </w:rPr>
              <w:t>en</w:t>
            </w:r>
            <w:r>
              <w:rPr>
                <w:spacing w:val="1"/>
                <w:sz w:val="20"/>
              </w:rPr>
              <w:t xml:space="preserve"> </w:t>
            </w:r>
            <w:r>
              <w:rPr>
                <w:sz w:val="20"/>
              </w:rPr>
              <w:t>el</w:t>
            </w:r>
            <w:r>
              <w:rPr>
                <w:spacing w:val="1"/>
                <w:sz w:val="20"/>
              </w:rPr>
              <w:t xml:space="preserve"> </w:t>
            </w:r>
            <w:r>
              <w:rPr>
                <w:sz w:val="20"/>
              </w:rPr>
              <w:t>suministro</w:t>
            </w:r>
            <w:r>
              <w:rPr>
                <w:spacing w:val="1"/>
                <w:sz w:val="20"/>
              </w:rPr>
              <w:t xml:space="preserve"> </w:t>
            </w:r>
            <w:r>
              <w:rPr>
                <w:sz w:val="20"/>
              </w:rPr>
              <w:t>de</w:t>
            </w:r>
            <w:r>
              <w:rPr>
                <w:spacing w:val="1"/>
                <w:sz w:val="20"/>
              </w:rPr>
              <w:t xml:space="preserve"> </w:t>
            </w:r>
            <w:r>
              <w:rPr>
                <w:sz w:val="20"/>
              </w:rPr>
              <w:t>agua,</w:t>
            </w:r>
            <w:r>
              <w:rPr>
                <w:spacing w:val="1"/>
                <w:sz w:val="20"/>
              </w:rPr>
              <w:t xml:space="preserve"> </w:t>
            </w:r>
            <w:r>
              <w:rPr>
                <w:sz w:val="20"/>
              </w:rPr>
              <w:t>saneamiento</w:t>
            </w:r>
            <w:r>
              <w:rPr>
                <w:spacing w:val="1"/>
                <w:sz w:val="20"/>
              </w:rPr>
              <w:t xml:space="preserve"> </w:t>
            </w:r>
            <w:r>
              <w:rPr>
                <w:sz w:val="20"/>
              </w:rPr>
              <w:t>e</w:t>
            </w:r>
            <w:r>
              <w:rPr>
                <w:spacing w:val="1"/>
                <w:sz w:val="20"/>
              </w:rPr>
              <w:t xml:space="preserve"> </w:t>
            </w:r>
            <w:r>
              <w:rPr>
                <w:sz w:val="20"/>
              </w:rPr>
              <w:t>higiene</w:t>
            </w:r>
            <w:r>
              <w:rPr>
                <w:spacing w:val="1"/>
                <w:sz w:val="20"/>
              </w:rPr>
              <w:t xml:space="preserve"> </w:t>
            </w:r>
            <w:r>
              <w:rPr>
                <w:sz w:val="20"/>
              </w:rPr>
              <w:t>en</w:t>
            </w:r>
            <w:r>
              <w:rPr>
                <w:spacing w:val="1"/>
                <w:sz w:val="20"/>
              </w:rPr>
              <w:t xml:space="preserve"> </w:t>
            </w:r>
            <w:r>
              <w:rPr>
                <w:sz w:val="20"/>
              </w:rPr>
              <w:t>situaciones</w:t>
            </w:r>
            <w:r>
              <w:rPr>
                <w:spacing w:val="-2"/>
                <w:sz w:val="20"/>
              </w:rPr>
              <w:t xml:space="preserve"> </w:t>
            </w:r>
            <w:r>
              <w:rPr>
                <w:sz w:val="20"/>
              </w:rPr>
              <w:t>de</w:t>
            </w:r>
            <w:r>
              <w:rPr>
                <w:spacing w:val="1"/>
                <w:sz w:val="20"/>
              </w:rPr>
              <w:t xml:space="preserve"> </w:t>
            </w:r>
            <w:r>
              <w:rPr>
                <w:sz w:val="20"/>
              </w:rPr>
              <w:t>emergencia</w:t>
            </w:r>
            <w:r>
              <w:rPr>
                <w:spacing w:val="1"/>
                <w:sz w:val="20"/>
              </w:rPr>
              <w:t xml:space="preserve"> </w:t>
            </w:r>
            <w:r>
              <w:rPr>
                <w:sz w:val="20"/>
              </w:rPr>
              <w:t>y</w:t>
            </w:r>
            <w:r>
              <w:rPr>
                <w:spacing w:val="1"/>
                <w:sz w:val="20"/>
              </w:rPr>
              <w:t xml:space="preserve"> </w:t>
            </w:r>
            <w:r>
              <w:rPr>
                <w:sz w:val="20"/>
              </w:rPr>
              <w:t>desastres</w:t>
            </w:r>
          </w:p>
          <w:p w14:paraId="721AABD4" w14:textId="444AB380" w:rsidR="00A71C10" w:rsidRDefault="00A71C10" w:rsidP="00A71C10">
            <w:r>
              <w:t>Apoya</w:t>
            </w:r>
            <w:r>
              <w:rPr>
                <w:spacing w:val="1"/>
              </w:rPr>
              <w:t xml:space="preserve"> </w:t>
            </w:r>
            <w:r>
              <w:t>en</w:t>
            </w:r>
            <w:r>
              <w:rPr>
                <w:spacing w:val="1"/>
              </w:rPr>
              <w:t xml:space="preserve"> </w:t>
            </w:r>
            <w:r>
              <w:t>el</w:t>
            </w:r>
            <w:r>
              <w:rPr>
                <w:spacing w:val="1"/>
              </w:rPr>
              <w:t xml:space="preserve"> </w:t>
            </w:r>
            <w:r>
              <w:t>empadronamiento</w:t>
            </w:r>
            <w:r>
              <w:rPr>
                <w:spacing w:val="1"/>
              </w:rPr>
              <w:t xml:space="preserve"> </w:t>
            </w:r>
            <w:r>
              <w:t>EDAN</w:t>
            </w:r>
            <w:r>
              <w:rPr>
                <w:spacing w:val="1"/>
              </w:rPr>
              <w:t xml:space="preserve"> </w:t>
            </w:r>
            <w:r>
              <w:t>PERÚ</w:t>
            </w:r>
            <w:r>
              <w:rPr>
                <w:spacing w:val="1"/>
              </w:rPr>
              <w:t xml:space="preserve"> </w:t>
            </w:r>
            <w:r>
              <w:t>y</w:t>
            </w:r>
            <w:r>
              <w:rPr>
                <w:spacing w:val="1"/>
              </w:rPr>
              <w:t xml:space="preserve"> </w:t>
            </w:r>
            <w:r>
              <w:t>en</w:t>
            </w:r>
            <w:r>
              <w:rPr>
                <w:spacing w:val="1"/>
              </w:rPr>
              <w:t xml:space="preserve"> </w:t>
            </w:r>
            <w:r>
              <w:t>la</w:t>
            </w:r>
            <w:r>
              <w:rPr>
                <w:spacing w:val="1"/>
              </w:rPr>
              <w:t xml:space="preserve"> </w:t>
            </w:r>
            <w:r>
              <w:t>instalación</w:t>
            </w:r>
            <w:r>
              <w:rPr>
                <w:spacing w:val="1"/>
              </w:rPr>
              <w:t xml:space="preserve"> </w:t>
            </w:r>
            <w:r>
              <w:t>de</w:t>
            </w:r>
            <w:r>
              <w:rPr>
                <w:spacing w:val="-47"/>
              </w:rPr>
              <w:t xml:space="preserve"> </w:t>
            </w:r>
            <w:r>
              <w:t>albergues</w:t>
            </w:r>
            <w:r>
              <w:rPr>
                <w:spacing w:val="-1"/>
              </w:rPr>
              <w:t xml:space="preserve"> </w:t>
            </w:r>
            <w:r>
              <w:t>temporales</w:t>
            </w:r>
            <w:r>
              <w:rPr>
                <w:spacing w:val="-1"/>
              </w:rPr>
              <w:t xml:space="preserve"> </w:t>
            </w:r>
            <w:r>
              <w:t>y</w:t>
            </w:r>
            <w:r>
              <w:rPr>
                <w:spacing w:val="1"/>
              </w:rPr>
              <w:t xml:space="preserve"> </w:t>
            </w:r>
            <w:r>
              <w:t>de</w:t>
            </w:r>
            <w:r>
              <w:rPr>
                <w:spacing w:val="1"/>
              </w:rPr>
              <w:t xml:space="preserve"> </w:t>
            </w:r>
            <w:r>
              <w:t>acciones</w:t>
            </w:r>
            <w:r>
              <w:rPr>
                <w:spacing w:val="-1"/>
              </w:rPr>
              <w:t xml:space="preserve"> </w:t>
            </w:r>
            <w:r>
              <w:t>cívicas</w:t>
            </w:r>
          </w:p>
        </w:tc>
      </w:tr>
      <w:tr w:rsidR="00A71C10" w14:paraId="09830EEF" w14:textId="77777777">
        <w:trPr>
          <w:jc w:val="center"/>
        </w:trPr>
        <w:tc>
          <w:tcPr>
            <w:tcW w:w="1816" w:type="dxa"/>
          </w:tcPr>
          <w:p w14:paraId="7BA94B61" w14:textId="77777777" w:rsidR="00A71C10" w:rsidRDefault="00A71C10" w:rsidP="00A71C10"/>
          <w:p w14:paraId="28BDD1CF" w14:textId="77777777" w:rsidR="00A71C10" w:rsidRDefault="00A71C10" w:rsidP="00A71C10">
            <w:pPr>
              <w:jc w:val="center"/>
            </w:pPr>
            <w:r>
              <w:t xml:space="preserve">Movilización </w:t>
            </w:r>
          </w:p>
        </w:tc>
        <w:tc>
          <w:tcPr>
            <w:tcW w:w="6111" w:type="dxa"/>
          </w:tcPr>
          <w:p w14:paraId="1526B88F" w14:textId="07250084" w:rsidR="00A71C10" w:rsidRDefault="00A71C10" w:rsidP="00A71C10">
            <w:r>
              <w:t>Ejecutan</w:t>
            </w:r>
            <w:r>
              <w:rPr>
                <w:spacing w:val="23"/>
              </w:rPr>
              <w:t xml:space="preserve"> </w:t>
            </w:r>
            <w:r>
              <w:t>la</w:t>
            </w:r>
            <w:r>
              <w:rPr>
                <w:spacing w:val="23"/>
              </w:rPr>
              <w:t xml:space="preserve"> </w:t>
            </w:r>
            <w:r>
              <w:t>movilización</w:t>
            </w:r>
            <w:r>
              <w:rPr>
                <w:spacing w:val="23"/>
              </w:rPr>
              <w:t xml:space="preserve"> </w:t>
            </w:r>
            <w:r>
              <w:t>y</w:t>
            </w:r>
            <w:r>
              <w:rPr>
                <w:spacing w:val="23"/>
              </w:rPr>
              <w:t xml:space="preserve"> </w:t>
            </w:r>
            <w:r>
              <w:t>desmovilización</w:t>
            </w:r>
            <w:r>
              <w:rPr>
                <w:spacing w:val="24"/>
              </w:rPr>
              <w:t xml:space="preserve"> </w:t>
            </w:r>
            <w:r>
              <w:t>de</w:t>
            </w:r>
            <w:r>
              <w:rPr>
                <w:spacing w:val="20"/>
              </w:rPr>
              <w:t xml:space="preserve"> </w:t>
            </w:r>
            <w:r>
              <w:t>sus</w:t>
            </w:r>
            <w:r>
              <w:rPr>
                <w:spacing w:val="22"/>
              </w:rPr>
              <w:t xml:space="preserve"> </w:t>
            </w:r>
            <w:r>
              <w:t>recursos</w:t>
            </w:r>
            <w:r>
              <w:rPr>
                <w:spacing w:val="22"/>
              </w:rPr>
              <w:t xml:space="preserve"> </w:t>
            </w:r>
            <w:r>
              <w:t>humanos</w:t>
            </w:r>
            <w:r>
              <w:rPr>
                <w:spacing w:val="21"/>
              </w:rPr>
              <w:t xml:space="preserve"> </w:t>
            </w:r>
            <w:r>
              <w:t>y</w:t>
            </w:r>
            <w:r>
              <w:rPr>
                <w:spacing w:val="-47"/>
              </w:rPr>
              <w:t xml:space="preserve"> </w:t>
            </w:r>
            <w:r>
              <w:t>materiales</w:t>
            </w:r>
            <w:r>
              <w:rPr>
                <w:spacing w:val="-2"/>
              </w:rPr>
              <w:t xml:space="preserve"> </w:t>
            </w:r>
            <w:r>
              <w:t>disponibles</w:t>
            </w:r>
            <w:r>
              <w:rPr>
                <w:spacing w:val="-2"/>
              </w:rPr>
              <w:t xml:space="preserve"> </w:t>
            </w:r>
            <w:r>
              <w:t>para la</w:t>
            </w:r>
            <w:r>
              <w:rPr>
                <w:spacing w:val="-1"/>
              </w:rPr>
              <w:t xml:space="preserve"> </w:t>
            </w:r>
            <w:r>
              <w:t>atención</w:t>
            </w:r>
            <w:r>
              <w:rPr>
                <w:spacing w:val="1"/>
              </w:rPr>
              <w:t xml:space="preserve"> </w:t>
            </w:r>
            <w:r>
              <w:t>de</w:t>
            </w:r>
            <w:r>
              <w:rPr>
                <w:spacing w:val="-1"/>
              </w:rPr>
              <w:t xml:space="preserve"> </w:t>
            </w:r>
            <w:r>
              <w:t>la</w:t>
            </w:r>
            <w:r>
              <w:rPr>
                <w:spacing w:val="-4"/>
              </w:rPr>
              <w:t xml:space="preserve"> </w:t>
            </w:r>
            <w:r>
              <w:t>emergencia</w:t>
            </w:r>
            <w:r>
              <w:rPr>
                <w:spacing w:val="-1"/>
              </w:rPr>
              <w:t xml:space="preserve"> </w:t>
            </w:r>
            <w:r>
              <w:t>y/o</w:t>
            </w:r>
            <w:r>
              <w:rPr>
                <w:spacing w:val="1"/>
              </w:rPr>
              <w:t xml:space="preserve"> </w:t>
            </w:r>
            <w:r>
              <w:t>desastres.</w:t>
            </w:r>
          </w:p>
        </w:tc>
      </w:tr>
    </w:tbl>
    <w:p w14:paraId="03E09728" w14:textId="77777777" w:rsidR="00657D48" w:rsidRDefault="00657D48">
      <w:pPr>
        <w:tabs>
          <w:tab w:val="left" w:pos="5594"/>
        </w:tabs>
        <w:jc w:val="both"/>
        <w:rPr>
          <w:rFonts w:ascii="Times New Roman" w:eastAsia="Times New Roman" w:hAnsi="Times New Roman" w:cs="Times New Roman"/>
        </w:rPr>
      </w:pPr>
    </w:p>
    <w:p w14:paraId="206296E5" w14:textId="0517EDC6" w:rsidR="00A71C10" w:rsidRDefault="00A71C10" w:rsidP="00A71C10">
      <w:pPr>
        <w:tabs>
          <w:tab w:val="left" w:pos="5594"/>
        </w:tabs>
        <w:jc w:val="both"/>
        <w:rPr>
          <w:rFonts w:ascii="Times New Roman" w:eastAsia="Times New Roman" w:hAnsi="Times New Roman" w:cs="Times New Roman"/>
        </w:rPr>
      </w:pPr>
      <w:r w:rsidRPr="00A71C10">
        <w:rPr>
          <w:rFonts w:ascii="Times New Roman" w:eastAsia="Times New Roman" w:hAnsi="Times New Roman" w:cs="Times New Roman"/>
        </w:rPr>
        <w:t>Estas actividades que se desarrollen en el POE va ser liderada por una Plataforma de Coordinación Estratégica que va estar conformada por el MINDEF a través del GT-GRD quien encabeza, pero acompañado del CCFFAA y del COES-MINDEF</w:t>
      </w:r>
      <w:r>
        <w:rPr>
          <w:rFonts w:ascii="Times New Roman" w:eastAsia="Times New Roman" w:hAnsi="Times New Roman" w:cs="Times New Roman"/>
        </w:rPr>
        <w:t xml:space="preserve"> </w:t>
      </w:r>
      <w:r w:rsidRPr="00A71C10">
        <w:rPr>
          <w:rFonts w:ascii="Times New Roman" w:eastAsia="Times New Roman" w:hAnsi="Times New Roman" w:cs="Times New Roman"/>
        </w:rPr>
        <w:t>quienes tomaran las decisiones. Al nivel de Plataforma de Coordinación Operativa va ser liderada por el CCFFAA con el apoyo de los Comandos Operacionales y los Comandos Especiales quienes van a desarrollar las operaciones con el fin de atender a la población damnificada afectada ante una emergencia y/o desastres</w:t>
      </w:r>
    </w:p>
    <w:p w14:paraId="3BFE2CEC" w14:textId="0BD8E0CB" w:rsidR="00657D48" w:rsidRDefault="00A71C10">
      <w:pPr>
        <w:spacing w:after="200"/>
        <w:jc w:val="both"/>
        <w:rPr>
          <w:rFonts w:ascii="Times New Roman" w:eastAsia="Times New Roman" w:hAnsi="Times New Roman" w:cs="Times New Roman"/>
        </w:rPr>
      </w:pPr>
      <w:r w:rsidRPr="00A71C10">
        <w:rPr>
          <w:rFonts w:ascii="Times New Roman" w:eastAsia="Times New Roman" w:hAnsi="Times New Roman" w:cs="Times New Roman"/>
        </w:rPr>
        <w:lastRenderedPageBreak/>
        <w:t>Teniendo como referencia el POE se debe elaborar los planes de contingencia en base a peligros de origen natural específicos (lluvias intensas, sismo seguido de tsunami y bajas temperaturas) que permite definir las responsabilidades y tareas a realizar ante un evento en particular. Asimismo, la elaboración del Plan de Continuidad Operativa por si se ve afectado la infraestructura del MINDEF que permita poder continuar sus operaciones y brindando el apoyo y servicio a la población</w:t>
      </w:r>
      <w:r w:rsidR="003F3EEB">
        <w:rPr>
          <w:rFonts w:ascii="Times New Roman" w:eastAsia="Times New Roman" w:hAnsi="Times New Roman" w:cs="Times New Roman"/>
        </w:rPr>
        <w:t>.</w:t>
      </w:r>
    </w:p>
    <w:p w14:paraId="210E3E97" w14:textId="77777777" w:rsidR="00657D48" w:rsidRDefault="00657D48">
      <w:pPr>
        <w:spacing w:after="200"/>
        <w:jc w:val="both"/>
        <w:rPr>
          <w:rFonts w:ascii="Times New Roman" w:eastAsia="Times New Roman" w:hAnsi="Times New Roman" w:cs="Times New Roman"/>
        </w:rPr>
      </w:pPr>
    </w:p>
    <w:p w14:paraId="3A83ED10" w14:textId="77777777" w:rsidR="00657D48" w:rsidRDefault="00657D48">
      <w:pPr>
        <w:spacing w:after="200"/>
        <w:jc w:val="both"/>
        <w:rPr>
          <w:rFonts w:ascii="Times New Roman" w:eastAsia="Times New Roman" w:hAnsi="Times New Roman" w:cs="Times New Roman"/>
        </w:rPr>
      </w:pPr>
    </w:p>
    <w:p w14:paraId="722A6037" w14:textId="77777777" w:rsidR="00657D48" w:rsidRDefault="00657D48">
      <w:pPr>
        <w:spacing w:after="200"/>
        <w:jc w:val="both"/>
        <w:rPr>
          <w:rFonts w:ascii="Times New Roman" w:eastAsia="Times New Roman" w:hAnsi="Times New Roman" w:cs="Times New Roman"/>
        </w:rPr>
      </w:pPr>
    </w:p>
    <w:p w14:paraId="5EBA2347" w14:textId="77777777" w:rsidR="00657D48" w:rsidRDefault="00657D48">
      <w:pPr>
        <w:spacing w:after="200"/>
        <w:jc w:val="both"/>
        <w:rPr>
          <w:rFonts w:ascii="Times New Roman" w:eastAsia="Times New Roman" w:hAnsi="Times New Roman" w:cs="Times New Roman"/>
        </w:rPr>
      </w:pPr>
    </w:p>
    <w:p w14:paraId="25E83A07" w14:textId="77777777" w:rsidR="00657D48" w:rsidRDefault="00657D48">
      <w:pPr>
        <w:spacing w:after="200"/>
        <w:jc w:val="both"/>
        <w:rPr>
          <w:rFonts w:ascii="Times New Roman" w:eastAsia="Times New Roman" w:hAnsi="Times New Roman" w:cs="Times New Roman"/>
        </w:rPr>
      </w:pPr>
    </w:p>
    <w:p w14:paraId="5906F336" w14:textId="77777777" w:rsidR="00657D48" w:rsidRDefault="00657D48">
      <w:pPr>
        <w:spacing w:after="200"/>
        <w:jc w:val="both"/>
        <w:rPr>
          <w:rFonts w:ascii="Times New Roman" w:eastAsia="Times New Roman" w:hAnsi="Times New Roman" w:cs="Times New Roman"/>
        </w:rPr>
      </w:pPr>
    </w:p>
    <w:p w14:paraId="7AAD4232" w14:textId="77777777" w:rsidR="00657D48" w:rsidRDefault="00657D48">
      <w:pPr>
        <w:spacing w:after="200"/>
        <w:jc w:val="both"/>
        <w:rPr>
          <w:rFonts w:ascii="Times New Roman" w:eastAsia="Times New Roman" w:hAnsi="Times New Roman" w:cs="Times New Roman"/>
        </w:rPr>
      </w:pPr>
    </w:p>
    <w:p w14:paraId="63D1615D" w14:textId="77777777" w:rsidR="001D2DB3" w:rsidRDefault="001D2DB3">
      <w:pPr>
        <w:spacing w:after="200"/>
        <w:jc w:val="both"/>
        <w:rPr>
          <w:rFonts w:ascii="Times New Roman" w:eastAsia="Times New Roman" w:hAnsi="Times New Roman" w:cs="Times New Roman"/>
        </w:rPr>
      </w:pPr>
    </w:p>
    <w:p w14:paraId="72910785" w14:textId="77777777" w:rsidR="001D2DB3" w:rsidRDefault="001D2DB3">
      <w:pPr>
        <w:spacing w:after="200"/>
        <w:jc w:val="both"/>
        <w:rPr>
          <w:rFonts w:ascii="Times New Roman" w:eastAsia="Times New Roman" w:hAnsi="Times New Roman" w:cs="Times New Roman"/>
        </w:rPr>
      </w:pPr>
    </w:p>
    <w:p w14:paraId="40DA783F" w14:textId="77777777" w:rsidR="001D2DB3" w:rsidRDefault="001D2DB3">
      <w:pPr>
        <w:spacing w:after="200"/>
        <w:jc w:val="both"/>
        <w:rPr>
          <w:rFonts w:ascii="Times New Roman" w:eastAsia="Times New Roman" w:hAnsi="Times New Roman" w:cs="Times New Roman"/>
        </w:rPr>
      </w:pPr>
    </w:p>
    <w:p w14:paraId="1843D757" w14:textId="77777777" w:rsidR="001D2DB3" w:rsidRDefault="001D2DB3">
      <w:pPr>
        <w:spacing w:after="200"/>
        <w:jc w:val="both"/>
        <w:rPr>
          <w:rFonts w:ascii="Times New Roman" w:eastAsia="Times New Roman" w:hAnsi="Times New Roman" w:cs="Times New Roman"/>
        </w:rPr>
      </w:pPr>
    </w:p>
    <w:p w14:paraId="7DA8DEE5" w14:textId="77777777" w:rsidR="001D2DB3" w:rsidRDefault="001D2DB3">
      <w:pPr>
        <w:spacing w:after="200"/>
        <w:jc w:val="both"/>
        <w:rPr>
          <w:rFonts w:ascii="Times New Roman" w:eastAsia="Times New Roman" w:hAnsi="Times New Roman" w:cs="Times New Roman"/>
        </w:rPr>
      </w:pPr>
    </w:p>
    <w:p w14:paraId="527C0388" w14:textId="77777777" w:rsidR="00657D48" w:rsidRDefault="00657D48">
      <w:pPr>
        <w:spacing w:after="200"/>
        <w:jc w:val="both"/>
        <w:rPr>
          <w:rFonts w:ascii="Times New Roman" w:eastAsia="Times New Roman" w:hAnsi="Times New Roman" w:cs="Times New Roman"/>
        </w:rPr>
      </w:pPr>
    </w:p>
    <w:p w14:paraId="7AA05A7C" w14:textId="3B857437" w:rsidR="00657D48" w:rsidRDefault="00657D48">
      <w:pPr>
        <w:spacing w:after="200"/>
        <w:jc w:val="both"/>
        <w:rPr>
          <w:rFonts w:ascii="Times New Roman" w:eastAsia="Times New Roman" w:hAnsi="Times New Roman" w:cs="Times New Roman"/>
        </w:rPr>
      </w:pPr>
    </w:p>
    <w:p w14:paraId="09C847A9" w14:textId="6371E487" w:rsidR="006F2BCE" w:rsidRDefault="006F2BCE">
      <w:pPr>
        <w:spacing w:after="200"/>
        <w:jc w:val="both"/>
        <w:rPr>
          <w:rFonts w:ascii="Times New Roman" w:eastAsia="Times New Roman" w:hAnsi="Times New Roman" w:cs="Times New Roman"/>
        </w:rPr>
      </w:pPr>
    </w:p>
    <w:p w14:paraId="2358E97C" w14:textId="2182D9A3" w:rsidR="006F2BCE" w:rsidRDefault="006F2BCE">
      <w:pPr>
        <w:spacing w:after="200"/>
        <w:jc w:val="both"/>
        <w:rPr>
          <w:rFonts w:ascii="Times New Roman" w:eastAsia="Times New Roman" w:hAnsi="Times New Roman" w:cs="Times New Roman"/>
        </w:rPr>
      </w:pPr>
    </w:p>
    <w:p w14:paraId="33E41829" w14:textId="77777777" w:rsidR="006F2BCE" w:rsidRDefault="006F2BCE">
      <w:pPr>
        <w:spacing w:after="200"/>
        <w:jc w:val="both"/>
        <w:rPr>
          <w:rFonts w:ascii="Times New Roman" w:eastAsia="Times New Roman" w:hAnsi="Times New Roman" w:cs="Times New Roman"/>
        </w:rPr>
      </w:pPr>
    </w:p>
    <w:p w14:paraId="74BC3E54" w14:textId="7228B6B1" w:rsidR="00657D48" w:rsidRDefault="003F3EEB">
      <w:pPr>
        <w:pStyle w:val="Ttulo1"/>
      </w:pPr>
      <w:bookmarkStart w:id="207" w:name="_qbtyoq" w:colFirst="0" w:colLast="0"/>
      <w:bookmarkStart w:id="208" w:name="_Toc117518951"/>
      <w:bookmarkEnd w:id="207"/>
      <w:r>
        <w:lastRenderedPageBreak/>
        <w:t>Referencias bibliográficas</w:t>
      </w:r>
      <w:bookmarkEnd w:id="208"/>
    </w:p>
    <w:p w14:paraId="418A1286" w14:textId="77777777" w:rsidR="00F37B5D" w:rsidRPr="005603AE" w:rsidRDefault="00F37B5D" w:rsidP="00F37B5D">
      <w:pPr>
        <w:pStyle w:val="NormalWeb"/>
        <w:spacing w:after="0"/>
        <w:jc w:val="both"/>
        <w:rPr>
          <w:color w:val="000000"/>
        </w:rPr>
      </w:pPr>
      <w:r w:rsidRPr="005603AE">
        <w:rPr>
          <w:color w:val="000000"/>
        </w:rPr>
        <w:t xml:space="preserve">Allan Lavell (2004). </w:t>
      </w:r>
      <w:r w:rsidRPr="005603AE">
        <w:rPr>
          <w:i/>
          <w:color w:val="000000"/>
        </w:rPr>
        <w:t>Sobre la Gestión del Riesgo: Apuntes hacía una Definición.</w:t>
      </w:r>
    </w:p>
    <w:p w14:paraId="68F57B4A" w14:textId="77777777" w:rsidR="00F37B5D" w:rsidRPr="005603AE" w:rsidRDefault="00F37B5D" w:rsidP="00F37B5D">
      <w:pPr>
        <w:tabs>
          <w:tab w:val="left" w:pos="8222"/>
        </w:tabs>
        <w:spacing w:after="200"/>
        <w:ind w:left="567" w:hanging="567"/>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ab/>
      </w:r>
      <w:hyperlink r:id="rId32" w:history="1">
        <w:r w:rsidRPr="005603AE">
          <w:rPr>
            <w:rFonts w:ascii="Times New Roman" w:eastAsia="Times New Roman" w:hAnsi="Times New Roman" w:cs="Times New Roman"/>
            <w:color w:val="000000"/>
            <w:u w:val="single"/>
          </w:rPr>
          <w:t>http://cidbimena.desastres.hn/docum/crid/Mayo2004/pdf/spa/doc15036/doc15036-contenido.pdf</w:t>
        </w:r>
      </w:hyperlink>
    </w:p>
    <w:p w14:paraId="2C87B334" w14:textId="77777777" w:rsidR="00F37B5D" w:rsidRPr="005603AE" w:rsidRDefault="00F37B5D" w:rsidP="00F37B5D">
      <w:pPr>
        <w:tabs>
          <w:tab w:val="left" w:pos="8222"/>
        </w:tabs>
        <w:spacing w:after="200"/>
        <w:ind w:left="567" w:hanging="567"/>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Alarcón, M., Díaz, J. y Michaelsen, P. (2016). </w:t>
      </w:r>
      <w:r w:rsidRPr="005603AE">
        <w:rPr>
          <w:rFonts w:ascii="Times New Roman" w:eastAsia="Times New Roman" w:hAnsi="Times New Roman" w:cs="Times New Roman"/>
          <w:i/>
          <w:color w:val="000000"/>
        </w:rPr>
        <w:t>Diseño de procesos del ejército para la preparación en la gestión de riesgos de desastres</w:t>
      </w:r>
      <w:r w:rsidRPr="005603AE">
        <w:rPr>
          <w:rFonts w:ascii="Times New Roman" w:eastAsia="Times New Roman" w:hAnsi="Times New Roman" w:cs="Times New Roman"/>
          <w:color w:val="000000"/>
        </w:rPr>
        <w:t>. [Tesis de maestría, Universidad</w:t>
      </w:r>
      <w:r w:rsidRPr="005603AE">
        <w:rPr>
          <w:rFonts w:ascii="Times New Roman" w:eastAsia="Times New Roman" w:hAnsi="Times New Roman" w:cs="Times New Roman"/>
        </w:rPr>
        <w:t xml:space="preserve"> del Pacifico]. Repositorio de la UP. </w:t>
      </w:r>
      <w:hyperlink r:id="rId33">
        <w:r w:rsidRPr="005603AE">
          <w:rPr>
            <w:rFonts w:ascii="Times New Roman" w:eastAsia="Times New Roman" w:hAnsi="Times New Roman" w:cs="Times New Roman"/>
            <w:color w:val="000000"/>
            <w:u w:val="single"/>
          </w:rPr>
          <w:t>https://repositorio.up.edu.pe/bitstream/handle/11354/1135/Manuel_Tesis_maestria_2016.pdf?sequence=1</w:t>
        </w:r>
      </w:hyperlink>
    </w:p>
    <w:p w14:paraId="6CF2AC40" w14:textId="77777777" w:rsidR="00F37B5D" w:rsidRPr="005603AE" w:rsidRDefault="00F37B5D" w:rsidP="00F37B5D">
      <w:pPr>
        <w:pBdr>
          <w:top w:val="nil"/>
          <w:left w:val="nil"/>
          <w:bottom w:val="nil"/>
          <w:right w:val="nil"/>
          <w:between w:val="nil"/>
        </w:pBdr>
        <w:spacing w:after="200"/>
        <w:ind w:left="709" w:hanging="709"/>
        <w:jc w:val="both"/>
        <w:rPr>
          <w:rFonts w:ascii="Times New Roman" w:eastAsia="Times New Roman" w:hAnsi="Times New Roman" w:cs="Times New Roman"/>
          <w:i/>
          <w:color w:val="000000"/>
          <w:highlight w:val="white"/>
        </w:rPr>
      </w:pPr>
      <w:r w:rsidRPr="005603AE">
        <w:rPr>
          <w:rFonts w:ascii="Times New Roman" w:eastAsia="Times New Roman" w:hAnsi="Times New Roman" w:cs="Times New Roman"/>
          <w:color w:val="000000"/>
          <w:highlight w:val="white"/>
        </w:rPr>
        <w:t xml:space="preserve">Acuña, D. (2011). </w:t>
      </w:r>
      <w:r w:rsidRPr="005603AE">
        <w:rPr>
          <w:rFonts w:ascii="Times New Roman" w:eastAsia="Times New Roman" w:hAnsi="Times New Roman" w:cs="Times New Roman"/>
          <w:i/>
          <w:color w:val="000000"/>
          <w:highlight w:val="white"/>
        </w:rPr>
        <w:t xml:space="preserve">Gestión del riesgo por desastres: propuesta metodológica para identificar y analizar condiciones de vulnerabilidad de las edificaciones en el centro histórico de la Serena. </w:t>
      </w:r>
      <w:r w:rsidRPr="005603AE">
        <w:rPr>
          <w:rFonts w:ascii="Times New Roman" w:eastAsia="Times New Roman" w:hAnsi="Times New Roman" w:cs="Times New Roman"/>
          <w:color w:val="000000"/>
          <w:highlight w:val="white"/>
        </w:rPr>
        <w:t xml:space="preserve">[Tesis de pregrado, Universidad de Chile]. Repositorio de UC. </w:t>
      </w:r>
      <w:hyperlink r:id="rId34">
        <w:r w:rsidRPr="005603AE">
          <w:rPr>
            <w:rFonts w:ascii="Times New Roman" w:eastAsia="Times New Roman" w:hAnsi="Times New Roman" w:cs="Times New Roman"/>
            <w:i/>
            <w:color w:val="000000"/>
            <w:highlight w:val="white"/>
            <w:u w:val="single"/>
          </w:rPr>
          <w:t>http://repositorio.uchile.cl/handle/2250/101170</w:t>
        </w:r>
      </w:hyperlink>
      <w:r w:rsidRPr="005603AE">
        <w:rPr>
          <w:rFonts w:ascii="Times New Roman" w:eastAsia="Times New Roman" w:hAnsi="Times New Roman" w:cs="Times New Roman"/>
          <w:i/>
          <w:color w:val="000000"/>
          <w:highlight w:val="white"/>
        </w:rPr>
        <w:t>.</w:t>
      </w:r>
    </w:p>
    <w:p w14:paraId="34C715B3"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Baena, G. (2017). </w:t>
      </w:r>
      <w:r w:rsidRPr="005603AE">
        <w:rPr>
          <w:rFonts w:ascii="Times New Roman" w:eastAsia="Times New Roman" w:hAnsi="Times New Roman" w:cs="Times New Roman"/>
          <w:i/>
          <w:color w:val="000000"/>
        </w:rPr>
        <w:t>Metodología de la investigación</w:t>
      </w:r>
      <w:r w:rsidRPr="005603AE">
        <w:rPr>
          <w:rFonts w:ascii="Times New Roman" w:eastAsia="Times New Roman" w:hAnsi="Times New Roman" w:cs="Times New Roman"/>
          <w:color w:val="000000"/>
        </w:rPr>
        <w:t xml:space="preserve"> (3ª edición). Grupo Editorial Patria. </w:t>
      </w:r>
      <w:hyperlink r:id="rId35">
        <w:r w:rsidRPr="005603AE">
          <w:rPr>
            <w:rFonts w:ascii="Times New Roman" w:eastAsia="Times New Roman" w:hAnsi="Times New Roman" w:cs="Times New Roman"/>
            <w:color w:val="000000"/>
            <w:u w:val="single"/>
          </w:rPr>
          <w:t>https://acortar.link/UojSA</w:t>
        </w:r>
      </w:hyperlink>
    </w:p>
    <w:p w14:paraId="54985702"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highlight w:val="white"/>
        </w:rPr>
      </w:pPr>
      <w:r w:rsidRPr="005603AE">
        <w:rPr>
          <w:rFonts w:ascii="Times New Roman" w:eastAsia="Times New Roman" w:hAnsi="Times New Roman" w:cs="Times New Roman"/>
          <w:color w:val="000000"/>
          <w:highlight w:val="white"/>
        </w:rPr>
        <w:t xml:space="preserve">Barrera, A. (2012). El proceso de sensibilización como metodología para la aceptación y reconocimiento del ser. </w:t>
      </w:r>
      <w:r w:rsidRPr="005603AE">
        <w:rPr>
          <w:rFonts w:ascii="Times New Roman" w:eastAsia="Times New Roman" w:hAnsi="Times New Roman" w:cs="Times New Roman"/>
          <w:i/>
          <w:color w:val="000000"/>
          <w:highlight w:val="white"/>
        </w:rPr>
        <w:t>Rev. Senderos Pedagógicos; 3</w:t>
      </w:r>
      <w:r w:rsidRPr="005603AE">
        <w:rPr>
          <w:rFonts w:ascii="Times New Roman" w:eastAsia="Times New Roman" w:hAnsi="Times New Roman" w:cs="Times New Roman"/>
          <w:color w:val="000000"/>
          <w:highlight w:val="white"/>
        </w:rPr>
        <w:t xml:space="preserve"> (3).</w:t>
      </w:r>
      <w:r w:rsidRPr="005603AE">
        <w:rPr>
          <w:rFonts w:ascii="Times New Roman" w:hAnsi="Times New Roman" w:cs="Times New Roman"/>
          <w:color w:val="000000"/>
        </w:rPr>
        <w:t xml:space="preserve"> </w:t>
      </w:r>
      <w:hyperlink r:id="rId36">
        <w:r w:rsidRPr="005603AE">
          <w:rPr>
            <w:rFonts w:ascii="Times New Roman" w:eastAsia="Times New Roman" w:hAnsi="Times New Roman" w:cs="Times New Roman"/>
            <w:color w:val="000000"/>
            <w:highlight w:val="white"/>
            <w:u w:val="single"/>
          </w:rPr>
          <w:t>https://ojs.tdea.edu.co/index.php/senderos/article/view/27</w:t>
        </w:r>
      </w:hyperlink>
    </w:p>
    <w:p w14:paraId="734EBF8A"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Bernabe, L. (2021). </w:t>
      </w:r>
      <w:r w:rsidRPr="005603AE">
        <w:rPr>
          <w:rFonts w:ascii="Times New Roman" w:eastAsia="Times New Roman" w:hAnsi="Times New Roman" w:cs="Times New Roman"/>
          <w:i/>
          <w:color w:val="000000"/>
        </w:rPr>
        <w:t>Evaluación de la gestión del riesgo de desastres y la capacidad de respuesta a las emergencias de la plataforma de defensa civil del distrito de Lambayeque, 2020.</w:t>
      </w:r>
      <w:r w:rsidRPr="005603AE">
        <w:rPr>
          <w:rFonts w:ascii="Times New Roman" w:eastAsia="Times New Roman" w:hAnsi="Times New Roman" w:cs="Times New Roman"/>
          <w:color w:val="000000"/>
        </w:rPr>
        <w:t xml:space="preserve"> [Tesis de maestría, Universidad Cesar Vallejo]. Repositorio de la UCV. </w:t>
      </w:r>
      <w:hyperlink r:id="rId37">
        <w:r w:rsidRPr="005603AE">
          <w:rPr>
            <w:rFonts w:ascii="Times New Roman" w:eastAsia="Times New Roman" w:hAnsi="Times New Roman" w:cs="Times New Roman"/>
            <w:color w:val="000000"/>
            <w:u w:val="single"/>
          </w:rPr>
          <w:t>https://hdl.handle.net/20.500.12692/84631</w:t>
        </w:r>
      </w:hyperlink>
    </w:p>
    <w:p w14:paraId="2F170CD7"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Bernal, C. (2016). </w:t>
      </w:r>
      <w:r w:rsidRPr="005603AE">
        <w:rPr>
          <w:rFonts w:ascii="Times New Roman" w:eastAsia="Times New Roman" w:hAnsi="Times New Roman" w:cs="Times New Roman"/>
          <w:i/>
          <w:color w:val="000000"/>
        </w:rPr>
        <w:t>Metodología de la investigación.</w:t>
      </w:r>
      <w:r w:rsidRPr="005603AE">
        <w:rPr>
          <w:rFonts w:ascii="Times New Roman" w:eastAsia="Times New Roman" w:hAnsi="Times New Roman" w:cs="Times New Roman"/>
          <w:color w:val="000000"/>
        </w:rPr>
        <w:t xml:space="preserve"> (4ª edición). Pearson Educación. </w:t>
      </w:r>
      <w:hyperlink r:id="rId38">
        <w:r w:rsidRPr="005603AE">
          <w:rPr>
            <w:rFonts w:ascii="Times New Roman" w:eastAsia="Times New Roman" w:hAnsi="Times New Roman" w:cs="Times New Roman"/>
            <w:color w:val="000000"/>
            <w:u w:val="single"/>
          </w:rPr>
          <w:t>https://abacoenred.com/wp-content/uploads/2019/02/El-proyecto-de-investigaci%C3%B3n-F.G.-Arias-2012-pdf.pdf</w:t>
        </w:r>
      </w:hyperlink>
    </w:p>
    <w:p w14:paraId="225469C0"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Blaikie et al., (1996). Vulnerabilidad (Primera Edición). La red de estudios sociales en prevención en desastres en América Latina. Julio, 1996.</w:t>
      </w:r>
    </w:p>
    <w:p w14:paraId="1B69B5D5" w14:textId="77777777" w:rsidR="00F37B5D" w:rsidRPr="005603AE" w:rsidRDefault="000B67FE" w:rsidP="00F37B5D">
      <w:pPr>
        <w:pBdr>
          <w:top w:val="nil"/>
          <w:left w:val="nil"/>
          <w:bottom w:val="nil"/>
          <w:right w:val="nil"/>
          <w:between w:val="nil"/>
        </w:pBdr>
        <w:spacing w:after="200"/>
        <w:ind w:left="720" w:hanging="12"/>
        <w:jc w:val="both"/>
        <w:rPr>
          <w:rFonts w:ascii="Times New Roman" w:eastAsia="Times New Roman" w:hAnsi="Times New Roman" w:cs="Times New Roman"/>
          <w:color w:val="000000"/>
          <w:u w:val="single"/>
        </w:rPr>
      </w:pPr>
      <w:hyperlink r:id="rId39" w:history="1">
        <w:r w:rsidR="00F37B5D" w:rsidRPr="005603AE">
          <w:rPr>
            <w:rFonts w:ascii="Times New Roman" w:eastAsia="Times New Roman" w:hAnsi="Times New Roman" w:cs="Times New Roman"/>
            <w:color w:val="000000"/>
            <w:u w:val="single"/>
          </w:rPr>
          <w:t>https://www.desenredando.org/public/libros/1996/vesped/vesped-todo_sep-09-2002.pdf</w:t>
        </w:r>
      </w:hyperlink>
    </w:p>
    <w:p w14:paraId="41716001"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Carrasco, S. (2013). </w:t>
      </w:r>
      <w:r w:rsidRPr="005603AE">
        <w:rPr>
          <w:rFonts w:ascii="Times New Roman" w:eastAsia="Times New Roman" w:hAnsi="Times New Roman" w:cs="Times New Roman"/>
          <w:i/>
          <w:color w:val="000000"/>
        </w:rPr>
        <w:t>Metodología de la investigación Científica</w:t>
      </w:r>
      <w:r w:rsidRPr="005603AE">
        <w:rPr>
          <w:rFonts w:ascii="Times New Roman" w:eastAsia="Times New Roman" w:hAnsi="Times New Roman" w:cs="Times New Roman"/>
          <w:color w:val="000000"/>
        </w:rPr>
        <w:t xml:space="preserve">. (6ª edición).  Editorial San Marcos. </w:t>
      </w:r>
    </w:p>
    <w:p w14:paraId="357CE5F9"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Carvajal, L. (2019). </w:t>
      </w:r>
      <w:r w:rsidRPr="005603AE">
        <w:rPr>
          <w:rFonts w:ascii="Times New Roman" w:eastAsia="Times New Roman" w:hAnsi="Times New Roman" w:cs="Times New Roman"/>
          <w:i/>
          <w:color w:val="000000"/>
        </w:rPr>
        <w:t>Metodología de la Investigación.</w:t>
      </w:r>
      <w:r w:rsidRPr="005603AE">
        <w:rPr>
          <w:rFonts w:ascii="Times New Roman" w:eastAsia="Times New Roman" w:hAnsi="Times New Roman" w:cs="Times New Roman"/>
          <w:color w:val="000000"/>
        </w:rPr>
        <w:t xml:space="preserve"> Poemia. </w:t>
      </w:r>
      <w:hyperlink r:id="rId40">
        <w:r w:rsidRPr="005603AE">
          <w:rPr>
            <w:rFonts w:ascii="Times New Roman" w:eastAsia="Times New Roman" w:hAnsi="Times New Roman" w:cs="Times New Roman"/>
            <w:color w:val="000000"/>
            <w:u w:val="single"/>
          </w:rPr>
          <w:t>https://www.lizardo-carvajal.com/wp-content/uploads/2019/02/Metodologi%CC%81a-de-la-investigacio%CC%81n.pdf</w:t>
        </w:r>
      </w:hyperlink>
    </w:p>
    <w:p w14:paraId="138F529B"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highlight w:val="white"/>
        </w:rPr>
      </w:pPr>
      <w:r w:rsidRPr="005603AE">
        <w:rPr>
          <w:rFonts w:ascii="Times New Roman" w:eastAsia="Times New Roman" w:hAnsi="Times New Roman" w:cs="Times New Roman"/>
          <w:color w:val="000000"/>
        </w:rPr>
        <w:t xml:space="preserve">Decreto Legislativo N° 1136. (2012). </w:t>
      </w:r>
      <w:r w:rsidRPr="005603AE">
        <w:rPr>
          <w:rFonts w:ascii="Times New Roman" w:eastAsia="Times New Roman" w:hAnsi="Times New Roman" w:cs="Times New Roman"/>
          <w:i/>
          <w:color w:val="000000"/>
        </w:rPr>
        <w:t>Comando Conjunto de las Fuerzas Armadas Adecuación y documentación del Comando Conjunto de las Fuerzas Armadas</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480430 El Peruano</w:t>
      </w:r>
      <w:r w:rsidRPr="005603AE">
        <w:rPr>
          <w:rFonts w:ascii="Times New Roman" w:eastAsia="Times New Roman" w:hAnsi="Times New Roman" w:cs="Times New Roman"/>
          <w:color w:val="000000"/>
          <w:highlight w:val="white"/>
        </w:rPr>
        <w:t>.</w:t>
      </w:r>
      <w:r w:rsidRPr="005603AE">
        <w:rPr>
          <w:rFonts w:ascii="Times New Roman" w:hAnsi="Times New Roman" w:cs="Times New Roman"/>
          <w:color w:val="000000"/>
        </w:rPr>
        <w:t xml:space="preserve"> </w:t>
      </w:r>
      <w:hyperlink r:id="rId41">
        <w:r w:rsidRPr="005603AE">
          <w:rPr>
            <w:rFonts w:ascii="Times New Roman" w:eastAsia="Times New Roman" w:hAnsi="Times New Roman" w:cs="Times New Roman"/>
            <w:color w:val="000000"/>
            <w:highlight w:val="white"/>
            <w:u w:val="single"/>
          </w:rPr>
          <w:t>https://busquedas.elperuano.pe/normaslegales/decreto-legislativo-del-comando-conjunto-de-las-fuerzas-arma-decreto-legislativo-n-1136-876207-3/</w:t>
        </w:r>
      </w:hyperlink>
    </w:p>
    <w:p w14:paraId="7C60D348"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lang w:val="en-US"/>
        </w:rPr>
      </w:pPr>
      <w:r w:rsidRPr="005603AE">
        <w:rPr>
          <w:rFonts w:ascii="Times New Roman" w:eastAsia="Times New Roman" w:hAnsi="Times New Roman" w:cs="Times New Roman"/>
          <w:color w:val="000000"/>
        </w:rPr>
        <w:t xml:space="preserve">Cabezas, G. (2020). El rol de las fuerzas armadas en el ciclo de gestión del riesgo de desastres en Chile: Una relación en desarrollo. </w:t>
      </w:r>
      <w:r w:rsidRPr="005603AE">
        <w:rPr>
          <w:rFonts w:ascii="Times New Roman" w:eastAsia="Times New Roman" w:hAnsi="Times New Roman" w:cs="Times New Roman"/>
          <w:i/>
          <w:color w:val="000000"/>
          <w:lang w:val="en-US"/>
        </w:rPr>
        <w:t>Rev. EDER.</w:t>
      </w:r>
      <w:r w:rsidRPr="005603AE">
        <w:rPr>
          <w:rFonts w:ascii="Times New Roman" w:eastAsia="Times New Roman" w:hAnsi="Times New Roman" w:cs="Times New Roman"/>
          <w:color w:val="000000"/>
          <w:lang w:val="en-US"/>
        </w:rPr>
        <w:t xml:space="preserve">; 4 (2): 111-122. </w:t>
      </w:r>
      <w:hyperlink r:id="rId42">
        <w:r w:rsidRPr="005603AE">
          <w:rPr>
            <w:rFonts w:ascii="Times New Roman" w:eastAsia="Times New Roman" w:hAnsi="Times New Roman" w:cs="Times New Roman"/>
            <w:color w:val="000000"/>
            <w:u w:val="single"/>
            <w:lang w:val="en-US"/>
          </w:rPr>
          <w:t>https://www.revistareder.com/ojs/index.php/reder/article/view/54/57</w:t>
        </w:r>
      </w:hyperlink>
    </w:p>
    <w:p w14:paraId="29965C3B"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highlight w:val="white"/>
        </w:rPr>
      </w:pPr>
      <w:r w:rsidRPr="005603AE">
        <w:rPr>
          <w:rFonts w:ascii="Times New Roman" w:eastAsia="Times New Roman" w:hAnsi="Times New Roman" w:cs="Times New Roman"/>
          <w:color w:val="000000"/>
          <w:highlight w:val="white"/>
        </w:rPr>
        <w:t xml:space="preserve">Comunidad Andina. Secretaría General (2009). </w:t>
      </w:r>
      <w:r w:rsidRPr="005603AE">
        <w:rPr>
          <w:rFonts w:ascii="Times New Roman" w:eastAsia="Times New Roman" w:hAnsi="Times New Roman" w:cs="Times New Roman"/>
          <w:i/>
          <w:color w:val="000000"/>
          <w:highlight w:val="white"/>
        </w:rPr>
        <w:t>Atlas de las Dinámicas del territorio andino: población y bienes expuestos a amenazas naturales</w:t>
      </w:r>
      <w:r w:rsidRPr="005603AE">
        <w:rPr>
          <w:rFonts w:ascii="Times New Roman" w:eastAsia="Times New Roman" w:hAnsi="Times New Roman" w:cs="Times New Roman"/>
          <w:color w:val="000000"/>
          <w:highlight w:val="white"/>
        </w:rPr>
        <w:t>. Lima, Perú: Corporación OSSO.</w:t>
      </w:r>
      <w:r w:rsidRPr="005603AE">
        <w:rPr>
          <w:rFonts w:ascii="Times New Roman" w:hAnsi="Times New Roman" w:cs="Times New Roman"/>
          <w:color w:val="000000"/>
        </w:rPr>
        <w:t xml:space="preserve"> </w:t>
      </w:r>
      <w:hyperlink r:id="rId43">
        <w:r w:rsidRPr="005603AE">
          <w:rPr>
            <w:rFonts w:ascii="Times New Roman" w:eastAsia="Times New Roman" w:hAnsi="Times New Roman" w:cs="Times New Roman"/>
            <w:color w:val="000000"/>
            <w:highlight w:val="white"/>
            <w:u w:val="single"/>
          </w:rPr>
          <w:t>http://bvpad.indeci.gob.pe/doc/pdf/esp/doc1683/doc1683.htm</w:t>
        </w:r>
      </w:hyperlink>
    </w:p>
    <w:p w14:paraId="085D0CA4"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u w:val="single"/>
          <w:lang w:val="es-ES"/>
        </w:rPr>
      </w:pPr>
      <w:r w:rsidRPr="005603AE">
        <w:rPr>
          <w:rFonts w:ascii="Times New Roman" w:eastAsia="Times New Roman" w:hAnsi="Times New Roman" w:cs="Times New Roman"/>
          <w:color w:val="000000"/>
          <w:highlight w:val="white"/>
        </w:rPr>
        <w:t xml:space="preserve">Comunidad Andina. (2021) </w:t>
      </w:r>
      <w:r w:rsidRPr="005603AE">
        <w:rPr>
          <w:rFonts w:ascii="Times New Roman" w:eastAsia="Times New Roman" w:hAnsi="Times New Roman" w:cs="Times New Roman"/>
          <w:i/>
          <w:color w:val="000000"/>
          <w:highlight w:val="white"/>
        </w:rPr>
        <w:t xml:space="preserve">Comité Andino Ad Hoc de Prevención de Desastres – CAPRADE. </w:t>
      </w:r>
      <w:r w:rsidRPr="005603AE">
        <w:rPr>
          <w:rFonts w:ascii="Times New Roman" w:eastAsia="Times New Roman" w:hAnsi="Times New Roman" w:cs="Times New Roman"/>
          <w:color w:val="000000"/>
          <w:highlight w:val="white"/>
        </w:rPr>
        <w:t>Lima, Perú.</w:t>
      </w:r>
      <w:r w:rsidRPr="005603AE">
        <w:rPr>
          <w:rFonts w:ascii="Times New Roman" w:hAnsi="Times New Roman" w:cs="Times New Roman"/>
          <w:color w:val="000000"/>
        </w:rPr>
        <w:t xml:space="preserve"> </w:t>
      </w:r>
      <w:hyperlink r:id="rId44">
        <w:r w:rsidRPr="005603AE">
          <w:rPr>
            <w:rFonts w:ascii="Times New Roman" w:eastAsia="Times New Roman" w:hAnsi="Times New Roman" w:cs="Times New Roman"/>
            <w:color w:val="000000"/>
            <w:u w:val="single"/>
            <w:lang w:val="es-ES"/>
          </w:rPr>
          <w:t>https://www.comunidadandina.org/temas/dg3/prevencion-de-desastres/</w:t>
        </w:r>
      </w:hyperlink>
    </w:p>
    <w:p w14:paraId="74BAB4CF" w14:textId="77777777" w:rsidR="00F37B5D" w:rsidRPr="005603AE" w:rsidRDefault="00F37B5D" w:rsidP="00F37B5D">
      <w:pPr>
        <w:spacing w:after="200"/>
        <w:ind w:firstLine="720"/>
        <w:rPr>
          <w:rFonts w:ascii="Times New Roman" w:eastAsia="Times New Roman" w:hAnsi="Times New Roman" w:cs="Times New Roman"/>
          <w:color w:val="000000"/>
          <w:u w:val="single"/>
          <w:lang w:val="es-ES"/>
        </w:rPr>
      </w:pPr>
      <w:r w:rsidRPr="005603AE">
        <w:rPr>
          <w:rFonts w:ascii="Times New Roman" w:eastAsia="Times New Roman" w:hAnsi="Times New Roman" w:cs="Times New Roman"/>
          <w:color w:val="000000"/>
          <w:lang w:val="es-ES"/>
        </w:rPr>
        <w:t>Recuperado de:</w:t>
      </w:r>
      <w:r w:rsidRPr="005603AE">
        <w:rPr>
          <w:rFonts w:ascii="Times New Roman" w:eastAsia="Times New Roman" w:hAnsi="Times New Roman" w:cs="Times New Roman"/>
          <w:color w:val="000000"/>
          <w:u w:val="single"/>
          <w:lang w:val="es-ES"/>
        </w:rPr>
        <w:t xml:space="preserve"> </w:t>
      </w:r>
      <w:hyperlink r:id="rId45">
        <w:r w:rsidRPr="005603AE">
          <w:rPr>
            <w:rFonts w:ascii="Times New Roman" w:eastAsia="Times New Roman" w:hAnsi="Times New Roman" w:cs="Times New Roman"/>
            <w:color w:val="000000"/>
            <w:u w:val="single"/>
            <w:lang w:val="es-ES"/>
          </w:rPr>
          <w:t>https://www.comunidadandina.org/tag/caprade/</w:t>
        </w:r>
      </w:hyperlink>
    </w:p>
    <w:p w14:paraId="39B7631C"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Corporación OSSO (2013). Informe de las Tendencias y estadísticas para 16 países. </w:t>
      </w:r>
      <w:r w:rsidRPr="005603AE">
        <w:rPr>
          <w:rFonts w:ascii="Times New Roman" w:eastAsia="Times New Roman" w:hAnsi="Times New Roman" w:cs="Times New Roman"/>
          <w:i/>
          <w:color w:val="000000"/>
        </w:rPr>
        <w:t xml:space="preserve">Impacto de los desastres en América Latina y el Caribe, 1990-2011. </w:t>
      </w:r>
      <w:r w:rsidRPr="005603AE">
        <w:rPr>
          <w:rFonts w:ascii="Times New Roman" w:eastAsia="Times New Roman" w:hAnsi="Times New Roman" w:cs="Times New Roman"/>
          <w:color w:val="000000"/>
        </w:rPr>
        <w:t>2013, septiembre.</w:t>
      </w:r>
    </w:p>
    <w:p w14:paraId="4B61F107" w14:textId="77777777" w:rsidR="00F37B5D" w:rsidRPr="005603AE" w:rsidRDefault="00F37B5D" w:rsidP="00F37B5D">
      <w:pPr>
        <w:pBdr>
          <w:top w:val="nil"/>
          <w:left w:val="nil"/>
          <w:bottom w:val="nil"/>
          <w:right w:val="nil"/>
          <w:between w:val="nil"/>
        </w:pBdr>
        <w:spacing w:after="200"/>
        <w:ind w:left="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u w:val="single"/>
        </w:rPr>
        <w:lastRenderedPageBreak/>
        <w:t>https://www.osso.org.co/docu/proyectos/corpo/2013/informe/Impacto_de_los_desastres_en_las_Americas.pdf</w:t>
      </w:r>
    </w:p>
    <w:p w14:paraId="07687ACE"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De La Cruz C., Miranda V., Devoto R., Brondi N., Duran, G. (2015) </w:t>
      </w:r>
      <w:r w:rsidRPr="005603AE">
        <w:rPr>
          <w:rFonts w:ascii="Times New Roman" w:eastAsia="Times New Roman" w:hAnsi="Times New Roman" w:cs="Times New Roman"/>
          <w:i/>
          <w:color w:val="000000"/>
        </w:rPr>
        <w:t xml:space="preserve">Estudio de pre inversión a nivel de perfil SNIP </w:t>
      </w:r>
      <w:r w:rsidRPr="005603AE">
        <w:rPr>
          <w:rFonts w:ascii="Times New Roman" w:eastAsia="Times New Roman" w:hAnsi="Times New Roman" w:cs="Times New Roman"/>
          <w:color w:val="000000"/>
        </w:rPr>
        <w:t xml:space="preserve">5 </w:t>
      </w:r>
      <w:r w:rsidRPr="005603AE">
        <w:rPr>
          <w:rFonts w:ascii="Times New Roman" w:eastAsia="Times New Roman" w:hAnsi="Times New Roman" w:cs="Times New Roman"/>
          <w:i/>
          <w:color w:val="000000"/>
        </w:rPr>
        <w:t>Creación de Servicios de atención de emergencia para casos de desastres en el ámbito nacional.</w:t>
      </w:r>
      <w:r w:rsidRPr="005603AE">
        <w:rPr>
          <w:rFonts w:ascii="Times New Roman" w:eastAsia="Times New Roman" w:hAnsi="Times New Roman" w:cs="Times New Roman"/>
          <w:color w:val="000000"/>
        </w:rPr>
        <w:t xml:space="preserve"> Lima, Perú.</w:t>
      </w:r>
    </w:p>
    <w:p w14:paraId="4E3BDB78"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Directiva N° 035-15-CCFFAA/D-1/DGRD (Resolución Ministerial N°677-2015-DE/CCFFAA). </w:t>
      </w:r>
      <w:r w:rsidRPr="005603AE">
        <w:rPr>
          <w:rFonts w:ascii="Times New Roman" w:eastAsia="Times New Roman" w:hAnsi="Times New Roman" w:cs="Times New Roman"/>
          <w:i/>
          <w:color w:val="000000"/>
        </w:rPr>
        <w:t>Aprueban la Directiva para el planeamiento estratégico de las Fuerzas Armadas en los procesos de preparación y respuesta de la Gestión del Riesgo de Desastres</w:t>
      </w:r>
      <w:r w:rsidRPr="005603AE">
        <w:rPr>
          <w:rFonts w:ascii="Times New Roman" w:eastAsia="Times New Roman" w:hAnsi="Times New Roman" w:cs="Times New Roman"/>
          <w:color w:val="000000"/>
        </w:rPr>
        <w:t>. Ministerio de Defensa, 2015, 31, julio.</w:t>
      </w:r>
    </w:p>
    <w:p w14:paraId="695F71FE"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Directiva N°0021-2020-MINDEF/SG/VPD/DIGEPE/DIRMOV (Resolución Ministerial N° 0569-2020-DE/SG). </w:t>
      </w:r>
      <w:r w:rsidRPr="005603AE">
        <w:rPr>
          <w:rFonts w:ascii="Times New Roman" w:eastAsia="Times New Roman" w:hAnsi="Times New Roman" w:cs="Times New Roman"/>
          <w:i/>
          <w:color w:val="000000"/>
        </w:rPr>
        <w:t>Aprueba la Directiva General que norma al Sector Defensa para su participación en la Gestión del Riesgo de Desastres</w:t>
      </w:r>
      <w:r w:rsidRPr="005603AE">
        <w:rPr>
          <w:rFonts w:ascii="Times New Roman" w:eastAsia="Times New Roman" w:hAnsi="Times New Roman" w:cs="Times New Roman"/>
          <w:color w:val="000000"/>
        </w:rPr>
        <w:t>. Ministerio de Defensa, 2020, 07, octubre.</w:t>
      </w:r>
    </w:p>
    <w:p w14:paraId="0DA51097"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Espinoza, H. (2019). </w:t>
      </w:r>
      <w:r w:rsidRPr="005603AE">
        <w:rPr>
          <w:rFonts w:ascii="Times New Roman" w:eastAsia="Times New Roman" w:hAnsi="Times New Roman" w:cs="Times New Roman"/>
          <w:i/>
          <w:color w:val="000000"/>
        </w:rPr>
        <w:t>La seguritización de la gestión de riesgos y el papel de las Fuerzas Armadas: Algunas reflexiones conceptuales sobre la experiencia del ejército ecuatoriano</w:t>
      </w:r>
      <w:r w:rsidRPr="005603AE">
        <w:rPr>
          <w:rFonts w:ascii="Times New Roman" w:eastAsia="Times New Roman" w:hAnsi="Times New Roman" w:cs="Times New Roman"/>
          <w:color w:val="000000"/>
        </w:rPr>
        <w:t xml:space="preserve">. [Tesis de maestría, Institutos de Altos Estudios Nacionales del Ecuador]. Repositorio del IAEN. </w:t>
      </w:r>
      <w:hyperlink r:id="rId46">
        <w:r w:rsidRPr="005603AE">
          <w:rPr>
            <w:rFonts w:ascii="Times New Roman" w:eastAsia="Times New Roman" w:hAnsi="Times New Roman" w:cs="Times New Roman"/>
            <w:color w:val="000000"/>
            <w:u w:val="single"/>
          </w:rPr>
          <w:t>http://repositorio.iaen.edu.ec/handle/24000/4952</w:t>
        </w:r>
      </w:hyperlink>
    </w:p>
    <w:p w14:paraId="107A393D" w14:textId="77777777" w:rsidR="00F37B5D" w:rsidRPr="005603AE" w:rsidRDefault="00F37B5D" w:rsidP="00F37B5D">
      <w:pPr>
        <w:pBdr>
          <w:top w:val="nil"/>
          <w:left w:val="nil"/>
          <w:bottom w:val="nil"/>
          <w:right w:val="nil"/>
          <w:between w:val="nil"/>
        </w:pBdr>
        <w:tabs>
          <w:tab w:val="left" w:pos="8222"/>
        </w:tabs>
        <w:spacing w:after="200"/>
        <w:jc w:val="both"/>
        <w:rPr>
          <w:rFonts w:ascii="Times New Roman" w:eastAsia="Times New Roman" w:hAnsi="Times New Roman" w:cs="Times New Roman"/>
          <w:i/>
          <w:color w:val="000000"/>
        </w:rPr>
      </w:pPr>
      <w:r w:rsidRPr="005603AE">
        <w:rPr>
          <w:rFonts w:ascii="Times New Roman" w:eastAsia="Times New Roman" w:hAnsi="Times New Roman" w:cs="Times New Roman"/>
          <w:color w:val="000000"/>
        </w:rPr>
        <w:t xml:space="preserve">ESAN (2016). </w:t>
      </w:r>
      <w:r w:rsidRPr="005603AE">
        <w:rPr>
          <w:rFonts w:ascii="Times New Roman" w:eastAsia="Times New Roman" w:hAnsi="Times New Roman" w:cs="Times New Roman"/>
          <w:i/>
          <w:color w:val="000000"/>
        </w:rPr>
        <w:t xml:space="preserve">¿Qué son competencias?. </w:t>
      </w:r>
      <w:r w:rsidRPr="005603AE">
        <w:rPr>
          <w:rFonts w:ascii="Times New Roman" w:eastAsia="Times New Roman" w:hAnsi="Times New Roman" w:cs="Times New Roman"/>
          <w:color w:val="000000"/>
        </w:rPr>
        <w:t>Conexión ESAN</w:t>
      </w:r>
      <w:r w:rsidRPr="005603AE">
        <w:rPr>
          <w:rFonts w:ascii="Times New Roman" w:eastAsia="Times New Roman" w:hAnsi="Times New Roman" w:cs="Times New Roman"/>
          <w:i/>
          <w:color w:val="000000"/>
        </w:rPr>
        <w:t xml:space="preserve"> </w:t>
      </w:r>
      <w:r w:rsidRPr="005603AE">
        <w:rPr>
          <w:rFonts w:ascii="Times New Roman" w:eastAsia="Times New Roman" w:hAnsi="Times New Roman" w:cs="Times New Roman"/>
          <w:color w:val="000000"/>
        </w:rPr>
        <w:t>2016, 15 Julio.</w:t>
      </w:r>
    </w:p>
    <w:p w14:paraId="3BF29E78" w14:textId="77777777" w:rsidR="00F37B5D" w:rsidRPr="005603AE" w:rsidRDefault="00F37B5D" w:rsidP="00F37B5D">
      <w:pPr>
        <w:pBdr>
          <w:top w:val="nil"/>
          <w:left w:val="nil"/>
          <w:bottom w:val="nil"/>
          <w:right w:val="nil"/>
          <w:between w:val="nil"/>
        </w:pBdr>
        <w:spacing w:after="20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ab/>
      </w:r>
      <w:hyperlink r:id="rId47" w:history="1">
        <w:r w:rsidRPr="005603AE">
          <w:rPr>
            <w:rFonts w:ascii="Times New Roman" w:eastAsia="Times New Roman" w:hAnsi="Times New Roman" w:cs="Times New Roman"/>
            <w:color w:val="000000"/>
            <w:u w:val="single"/>
          </w:rPr>
          <w:t>https://www.esan.edu.pe/conexion-esan/que-son-competencias</w:t>
        </w:r>
      </w:hyperlink>
      <w:r w:rsidRPr="005603AE">
        <w:rPr>
          <w:rFonts w:ascii="Times New Roman" w:eastAsia="Times New Roman" w:hAnsi="Times New Roman" w:cs="Times New Roman"/>
          <w:color w:val="000000"/>
          <w:u w:val="single"/>
        </w:rPr>
        <w:t xml:space="preserve">  </w:t>
      </w:r>
    </w:p>
    <w:p w14:paraId="65B63C1B"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Fazel, Soltani, &amp; Rafiee, (2016). </w:t>
      </w:r>
      <w:r w:rsidRPr="005603AE">
        <w:rPr>
          <w:rFonts w:ascii="Times New Roman" w:eastAsia="Times New Roman" w:hAnsi="Times New Roman" w:cs="Times New Roman"/>
          <w:i/>
          <w:color w:val="000000"/>
        </w:rPr>
        <w:t>Artículo Gestión por Competencias en las Instituciones Públicas.</w:t>
      </w:r>
    </w:p>
    <w:p w14:paraId="1B2CC1D6" w14:textId="77777777" w:rsidR="00F37B5D" w:rsidRPr="005603AE" w:rsidRDefault="00F37B5D" w:rsidP="00F37B5D">
      <w:pPr>
        <w:pBdr>
          <w:top w:val="nil"/>
          <w:left w:val="nil"/>
          <w:bottom w:val="nil"/>
          <w:right w:val="nil"/>
          <w:between w:val="nil"/>
        </w:pBdr>
        <w:spacing w:after="200"/>
        <w:ind w:left="720" w:hanging="12"/>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u w:val="single"/>
        </w:rPr>
        <w:t>https://ciencialatina.org/index.php/cienciala/article/view/496/624</w:t>
      </w:r>
    </w:p>
    <w:p w14:paraId="1F14E30B"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Flores, L. (2018). </w:t>
      </w:r>
      <w:r w:rsidRPr="005603AE">
        <w:rPr>
          <w:rFonts w:ascii="Times New Roman" w:eastAsia="Times New Roman" w:hAnsi="Times New Roman" w:cs="Times New Roman"/>
          <w:i/>
          <w:color w:val="000000"/>
        </w:rPr>
        <w:t>Las fuerzas armadas en apoyo a la gestión de riesgos</w:t>
      </w:r>
      <w:r w:rsidRPr="005603AE">
        <w:rPr>
          <w:rFonts w:ascii="Times New Roman" w:eastAsia="Times New Roman" w:hAnsi="Times New Roman" w:cs="Times New Roman"/>
          <w:color w:val="000000"/>
        </w:rPr>
        <w:t xml:space="preserve">. [Tesis de posgrado, Universidad de las Fuerzas Armadas del Ecuador]. Repositorio de la ESPE. </w:t>
      </w:r>
      <w:hyperlink r:id="rId48">
        <w:r w:rsidRPr="005603AE">
          <w:rPr>
            <w:rFonts w:ascii="Times New Roman" w:eastAsia="Times New Roman" w:hAnsi="Times New Roman" w:cs="Times New Roman"/>
            <w:color w:val="000000"/>
            <w:u w:val="single"/>
          </w:rPr>
          <w:t>http://repositorio.espe.edu.ec/handle/21000/14020</w:t>
        </w:r>
      </w:hyperlink>
    </w:p>
    <w:p w14:paraId="7F56EE97"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lastRenderedPageBreak/>
        <w:t xml:space="preserve">Flores, P., Muñoz, M. y Sánchez, T. (2019). Estudio de potencia de pruebas de normalidad usando distribuciones desconocidas con distintos niveles de no normalidad. </w:t>
      </w:r>
      <w:r w:rsidRPr="005603AE">
        <w:rPr>
          <w:rFonts w:ascii="Times New Roman" w:eastAsia="Times New Roman" w:hAnsi="Times New Roman" w:cs="Times New Roman"/>
          <w:i/>
          <w:color w:val="000000"/>
        </w:rPr>
        <w:t>Rev. Perfiles; 21</w:t>
      </w:r>
      <w:r w:rsidRPr="005603AE">
        <w:rPr>
          <w:rFonts w:ascii="Times New Roman" w:eastAsia="Times New Roman" w:hAnsi="Times New Roman" w:cs="Times New Roman"/>
          <w:color w:val="000000"/>
        </w:rPr>
        <w:t xml:space="preserve"> (1): 4 – 11. Recuperado de </w:t>
      </w:r>
      <w:hyperlink r:id="rId49">
        <w:r w:rsidRPr="005603AE">
          <w:rPr>
            <w:rFonts w:ascii="Times New Roman" w:eastAsia="Times New Roman" w:hAnsi="Times New Roman" w:cs="Times New Roman"/>
            <w:color w:val="000000"/>
            <w:u w:val="single"/>
          </w:rPr>
          <w:t>http://ceaa.espoch.edu.ec:8080/revista.perfiles/faces/Articulos/Perfiles21Art1.pdf</w:t>
        </w:r>
      </w:hyperlink>
    </w:p>
    <w:p w14:paraId="450C0FA4"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Gallardo L. (2017). </w:t>
      </w:r>
      <w:r w:rsidRPr="005603AE">
        <w:rPr>
          <w:rFonts w:ascii="Times New Roman" w:eastAsia="Times New Roman" w:hAnsi="Times New Roman" w:cs="Times New Roman"/>
          <w:i/>
          <w:color w:val="000000"/>
        </w:rPr>
        <w:t xml:space="preserve">Metodología de la Investigación: Manual autoformativo interactivo. </w:t>
      </w:r>
      <w:r w:rsidRPr="005603AE">
        <w:rPr>
          <w:rFonts w:ascii="Times New Roman" w:eastAsia="Times New Roman" w:hAnsi="Times New Roman" w:cs="Times New Roman"/>
          <w:color w:val="000000"/>
        </w:rPr>
        <w:t xml:space="preserve">Editorial de la Universidad Continental. </w:t>
      </w:r>
      <w:hyperlink r:id="rId50">
        <w:r w:rsidRPr="005603AE">
          <w:rPr>
            <w:rFonts w:ascii="Times New Roman" w:eastAsia="Times New Roman" w:hAnsi="Times New Roman" w:cs="Times New Roman"/>
            <w:color w:val="000000"/>
            <w:u w:val="single"/>
          </w:rPr>
          <w:t>https://repositorio.continental.edu.pe/bitstream/20.500.12394/4278/1/DO_UC_EG_MAI_UC0584_2018.pdf</w:t>
        </w:r>
      </w:hyperlink>
    </w:p>
    <w:p w14:paraId="7AC0D8EC"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i/>
          <w:color w:val="000000"/>
          <w:lang w:val="fr-FR"/>
        </w:rPr>
      </w:pPr>
      <w:r w:rsidRPr="005603AE">
        <w:rPr>
          <w:rFonts w:ascii="Times New Roman" w:eastAsia="Times New Roman" w:hAnsi="Times New Roman" w:cs="Times New Roman"/>
          <w:color w:val="000000"/>
          <w:lang w:val="fr-FR"/>
        </w:rPr>
        <w:t xml:space="preserve">Global Assessment Report on Disaster Risk Reduction (2015). </w:t>
      </w:r>
      <w:r w:rsidRPr="005603AE">
        <w:rPr>
          <w:rFonts w:ascii="Times New Roman" w:eastAsia="Times New Roman" w:hAnsi="Times New Roman" w:cs="Times New Roman"/>
          <w:i/>
          <w:color w:val="000000"/>
          <w:lang w:val="fr-FR"/>
        </w:rPr>
        <w:t>Making Development Sustainable: The Future of Disaster Risk Management. 2015.</w:t>
      </w:r>
    </w:p>
    <w:p w14:paraId="534EC77A" w14:textId="77777777" w:rsidR="00F37B5D" w:rsidRPr="005603AE" w:rsidRDefault="00F37B5D" w:rsidP="00F37B5D">
      <w:pPr>
        <w:pBdr>
          <w:top w:val="nil"/>
          <w:left w:val="nil"/>
          <w:bottom w:val="nil"/>
          <w:right w:val="nil"/>
          <w:between w:val="nil"/>
        </w:pBdr>
        <w:ind w:left="720"/>
        <w:jc w:val="both"/>
        <w:rPr>
          <w:rFonts w:ascii="Times New Roman" w:eastAsia="Times New Roman" w:hAnsi="Times New Roman" w:cs="Times New Roman"/>
          <w:color w:val="000000"/>
          <w:u w:val="single"/>
          <w:lang w:val="fr-FR"/>
        </w:rPr>
      </w:pPr>
      <w:r w:rsidRPr="005603AE">
        <w:rPr>
          <w:rFonts w:ascii="Times New Roman" w:eastAsia="Times New Roman" w:hAnsi="Times New Roman" w:cs="Times New Roman"/>
          <w:color w:val="000000"/>
          <w:u w:val="single"/>
          <w:lang w:val="fr-FR"/>
        </w:rPr>
        <w:t>https://www.preventionweb.net/english/hyogo/gar/2015/en/gar-pdf/GAR2015_EN.pdf</w:t>
      </w:r>
    </w:p>
    <w:p w14:paraId="104762F9"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Gisela Irene Gellert de Pinto (2012). </w:t>
      </w:r>
      <w:r w:rsidRPr="005603AE">
        <w:rPr>
          <w:rFonts w:ascii="Times New Roman" w:eastAsia="Times New Roman" w:hAnsi="Times New Roman" w:cs="Times New Roman"/>
          <w:i/>
          <w:color w:val="000000"/>
        </w:rPr>
        <w:t xml:space="preserve">Boletín Científico Sapiens Research, ISSN-e 2215-9312. El cambio de paradigma: de la atención de desastres a la gestión del riesgo </w:t>
      </w:r>
      <w:r w:rsidRPr="005603AE">
        <w:rPr>
          <w:rFonts w:ascii="Times New Roman" w:eastAsia="Times New Roman" w:hAnsi="Times New Roman" w:cs="Times New Roman"/>
          <w:color w:val="000000"/>
        </w:rPr>
        <w:t>(Vol. 2, Nº. 1).</w:t>
      </w:r>
    </w:p>
    <w:p w14:paraId="1DACA128"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ab/>
      </w:r>
      <w:r w:rsidRPr="005603AE">
        <w:rPr>
          <w:rFonts w:ascii="Times New Roman" w:eastAsia="Times New Roman" w:hAnsi="Times New Roman" w:cs="Times New Roman"/>
          <w:color w:val="000000"/>
          <w:u w:val="single"/>
          <w:lang w:val="fr-FR"/>
        </w:rPr>
        <w:t>https://dialnet.unirioja.es/servlet/articulo?codigo=3841348</w:t>
      </w:r>
    </w:p>
    <w:p w14:paraId="02AF45F0"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Hernández, R. y Mendoza, C. (2018). </w:t>
      </w:r>
      <w:r w:rsidRPr="005603AE">
        <w:rPr>
          <w:rFonts w:ascii="Times New Roman" w:eastAsia="Times New Roman" w:hAnsi="Times New Roman" w:cs="Times New Roman"/>
          <w:i/>
          <w:color w:val="000000"/>
        </w:rPr>
        <w:t xml:space="preserve">Metodología de la investigación: Las rutas cuantitativas, cualitativas y mixta. </w:t>
      </w:r>
      <w:r w:rsidRPr="005603AE">
        <w:rPr>
          <w:rFonts w:ascii="Times New Roman" w:eastAsia="Times New Roman" w:hAnsi="Times New Roman" w:cs="Times New Roman"/>
          <w:color w:val="000000"/>
        </w:rPr>
        <w:t xml:space="preserve">(6ª edición). Editorial McGraw Hill / Interamericana Editores S.A. </w:t>
      </w:r>
      <w:hyperlink r:id="rId51">
        <w:r w:rsidRPr="005603AE">
          <w:rPr>
            <w:rFonts w:ascii="Times New Roman" w:eastAsia="Times New Roman" w:hAnsi="Times New Roman" w:cs="Times New Roman"/>
            <w:color w:val="000000"/>
            <w:u w:val="single"/>
          </w:rPr>
          <w:t>http://www.biblioteca.cij.gob.mx/Archivos/Materiales_de_consulta/Drogas_de_Abuso/Articulos/SampieriLasRutas.pdf</w:t>
        </w:r>
      </w:hyperlink>
    </w:p>
    <w:p w14:paraId="191AC9D4"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Herrera, G. y Vivas, O. (2018). Gestión del riesgo y atención de desastres con Profesionales Oficiales de la Reserva del Ejército colombiano. </w:t>
      </w:r>
      <w:r w:rsidRPr="005603AE">
        <w:rPr>
          <w:rFonts w:ascii="Times New Roman" w:eastAsia="Times New Roman" w:hAnsi="Times New Roman" w:cs="Times New Roman"/>
          <w:i/>
          <w:color w:val="000000"/>
        </w:rPr>
        <w:t>Rev. Científica General José María Córdova; 16</w:t>
      </w:r>
      <w:r w:rsidRPr="005603AE">
        <w:rPr>
          <w:rFonts w:ascii="Times New Roman" w:eastAsia="Times New Roman" w:hAnsi="Times New Roman" w:cs="Times New Roman"/>
          <w:color w:val="000000"/>
        </w:rPr>
        <w:t xml:space="preserve">, (22): 1-20. Disponible en: </w:t>
      </w:r>
      <w:hyperlink r:id="rId52">
        <w:r w:rsidRPr="005603AE">
          <w:rPr>
            <w:rFonts w:ascii="Times New Roman" w:eastAsia="Times New Roman" w:hAnsi="Times New Roman" w:cs="Times New Roman"/>
            <w:color w:val="000000"/>
            <w:u w:val="single"/>
          </w:rPr>
          <w:t>http://dx.doi.org/10.21830/19006586.319</w:t>
        </w:r>
      </w:hyperlink>
    </w:p>
    <w:p w14:paraId="33BD81FE" w14:textId="77777777" w:rsidR="00F37B5D" w:rsidRPr="005603AE" w:rsidRDefault="00F37B5D" w:rsidP="00F37B5D">
      <w:pPr>
        <w:pBdr>
          <w:top w:val="nil"/>
          <w:left w:val="nil"/>
          <w:bottom w:val="nil"/>
          <w:right w:val="nil"/>
          <w:between w:val="nil"/>
        </w:pBdr>
        <w:tabs>
          <w:tab w:val="left" w:pos="8222"/>
        </w:tabs>
        <w:spacing w:after="20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lastRenderedPageBreak/>
        <w:t xml:space="preserve">La Cosa Pública (2008). </w:t>
      </w:r>
      <w:r w:rsidRPr="005603AE">
        <w:rPr>
          <w:rFonts w:ascii="Times New Roman" w:eastAsia="Times New Roman" w:hAnsi="Times New Roman" w:cs="Times New Roman"/>
          <w:i/>
          <w:color w:val="000000"/>
        </w:rPr>
        <w:t xml:space="preserve">Blog de Christian Guzmán Napurí conteniendo artículos y comentarios sobre temas de relevancia doctrinaria y práctica sobre Derecho Público, Administración Pública, Ciencia Política y Economía. </w:t>
      </w:r>
    </w:p>
    <w:p w14:paraId="0830ABB1" w14:textId="77777777" w:rsidR="00F37B5D" w:rsidRPr="005603AE" w:rsidRDefault="00F37B5D" w:rsidP="00F37B5D">
      <w:pPr>
        <w:pBdr>
          <w:top w:val="nil"/>
          <w:left w:val="nil"/>
          <w:bottom w:val="nil"/>
          <w:right w:val="nil"/>
          <w:between w:val="nil"/>
        </w:pBdr>
        <w:spacing w:after="200"/>
        <w:jc w:val="both"/>
        <w:rPr>
          <w:rFonts w:ascii="Times New Roman" w:hAnsi="Times New Roman" w:cs="Times New Roman"/>
          <w:u w:val="single"/>
          <w:lang w:val="es-ES_tradnl"/>
        </w:rPr>
      </w:pPr>
      <w:r w:rsidRPr="005603AE">
        <w:rPr>
          <w:rFonts w:ascii="Times New Roman" w:eastAsia="Times New Roman" w:hAnsi="Times New Roman" w:cs="Times New Roman"/>
          <w:color w:val="000000"/>
        </w:rPr>
        <w:tab/>
      </w:r>
      <w:hyperlink r:id="rId53" w:history="1">
        <w:r w:rsidRPr="005603AE">
          <w:rPr>
            <w:rStyle w:val="Hipervnculo"/>
            <w:rFonts w:ascii="Times New Roman" w:eastAsia="Times New Roman" w:hAnsi="Times New Roman" w:cs="Times New Roman"/>
            <w:color w:val="auto"/>
          </w:rPr>
          <w:t>http://blog.pucp.edu.pe/blog/christianguzmannapuri/2008/02/20/la-competencia/</w:t>
        </w:r>
      </w:hyperlink>
      <w:r w:rsidRPr="005603AE">
        <w:rPr>
          <w:rFonts w:ascii="Times New Roman" w:hAnsi="Times New Roman" w:cs="Times New Roman"/>
          <w:u w:val="single"/>
          <w:lang w:val="es-ES_tradnl"/>
        </w:rPr>
        <w:t xml:space="preserve"> </w:t>
      </w:r>
    </w:p>
    <w:p w14:paraId="4E37648A"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Linda Zilbert (2008). </w:t>
      </w:r>
      <w:r w:rsidRPr="005603AE">
        <w:rPr>
          <w:rFonts w:ascii="Times New Roman" w:eastAsia="Times New Roman" w:hAnsi="Times New Roman" w:cs="Times New Roman"/>
          <w:i/>
          <w:color w:val="000000"/>
        </w:rPr>
        <w:t>Territorio y naturaleza. Desarrollo en armonía. Serie: Perú Hoy, No.14</w:t>
      </w:r>
      <w:r w:rsidRPr="005603AE">
        <w:rPr>
          <w:rFonts w:ascii="Times New Roman" w:eastAsia="Times New Roman" w:hAnsi="Times New Roman" w:cs="Times New Roman"/>
          <w:color w:val="000000"/>
        </w:rPr>
        <w:t>. 2008, diciembre.</w:t>
      </w:r>
    </w:p>
    <w:p w14:paraId="3E18E7A9" w14:textId="77777777" w:rsidR="00F37B5D" w:rsidRPr="005603AE" w:rsidRDefault="00F37B5D" w:rsidP="00F37B5D">
      <w:pPr>
        <w:pBdr>
          <w:top w:val="nil"/>
          <w:left w:val="nil"/>
          <w:bottom w:val="nil"/>
          <w:right w:val="nil"/>
          <w:between w:val="nil"/>
        </w:pBdr>
        <w:spacing w:after="200"/>
        <w:ind w:left="720" w:hanging="12"/>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u w:val="single"/>
        </w:rPr>
        <w:t>http://www.desco.org.pe/territorio-y-naturaleza-desarrollo-en-armonia-serie-peru-hoy-no14-diciembre-2008</w:t>
      </w:r>
    </w:p>
    <w:p w14:paraId="5C7C1CF4"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Lavell, A. (2005). </w:t>
      </w:r>
      <w:r w:rsidRPr="005603AE">
        <w:rPr>
          <w:rFonts w:ascii="Times New Roman" w:eastAsia="Times New Roman" w:hAnsi="Times New Roman" w:cs="Times New Roman"/>
          <w:i/>
          <w:color w:val="000000"/>
        </w:rPr>
        <w:t>Sobre la Gestión del Riesgo: Apuntes hacía una Definición</w:t>
      </w:r>
      <w:r w:rsidRPr="005603AE">
        <w:rPr>
          <w:rFonts w:ascii="Times New Roman" w:eastAsia="Times New Roman" w:hAnsi="Times New Roman" w:cs="Times New Roman"/>
          <w:color w:val="000000"/>
        </w:rPr>
        <w:t xml:space="preserve">. </w:t>
      </w:r>
      <w:hyperlink r:id="rId54">
        <w:r w:rsidRPr="005603AE">
          <w:rPr>
            <w:rFonts w:ascii="Times New Roman" w:eastAsia="Times New Roman" w:hAnsi="Times New Roman" w:cs="Times New Roman"/>
            <w:color w:val="000000"/>
            <w:u w:val="single"/>
          </w:rPr>
          <w:t>http://www.bvsde.paho.org/bvsacd/cd29/riesgo-apuntes.pdf</w:t>
        </w:r>
      </w:hyperlink>
      <w:r w:rsidRPr="005603AE">
        <w:rPr>
          <w:rFonts w:ascii="Times New Roman" w:eastAsia="Times New Roman" w:hAnsi="Times New Roman" w:cs="Times New Roman"/>
          <w:color w:val="000000"/>
        </w:rPr>
        <w:t xml:space="preserve">. </w:t>
      </w:r>
    </w:p>
    <w:p w14:paraId="206F9F53"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Ley que crea el Sistema Nacional de Gestión del Riesgo de Desastres (</w:t>
      </w:r>
      <w:r w:rsidRPr="005603AE">
        <w:rPr>
          <w:rFonts w:ascii="Times New Roman" w:eastAsia="Times New Roman" w:hAnsi="Times New Roman" w:cs="Times New Roman"/>
          <w:i/>
          <w:color w:val="000000"/>
        </w:rPr>
        <w:t>Ley N° 29664), que crea el</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Sistema Nacional de Gestión del Riesgo de Desastres</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436456</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El Peruano</w:t>
      </w:r>
      <w:r w:rsidRPr="005603AE">
        <w:rPr>
          <w:rFonts w:ascii="Times New Roman" w:eastAsia="Times New Roman" w:hAnsi="Times New Roman" w:cs="Times New Roman"/>
          <w:color w:val="000000"/>
        </w:rPr>
        <w:t>, 2011, 19, febrero.</w:t>
      </w:r>
    </w:p>
    <w:p w14:paraId="753FEF18"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Ley del Sistema de Seguridad y Defensa Nacional (</w:t>
      </w:r>
      <w:r w:rsidRPr="005603AE">
        <w:rPr>
          <w:rFonts w:ascii="Times New Roman" w:eastAsia="Times New Roman" w:hAnsi="Times New Roman" w:cs="Times New Roman"/>
          <w:i/>
          <w:color w:val="000000"/>
        </w:rPr>
        <w:t>Ley Nº 28478</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Aprueban Ley del Sistema de Seguridad y Defensa Nacional”.289676 El Peruano</w:t>
      </w:r>
      <w:r w:rsidRPr="005603AE">
        <w:rPr>
          <w:rFonts w:ascii="Times New Roman" w:eastAsia="Times New Roman" w:hAnsi="Times New Roman" w:cs="Times New Roman"/>
          <w:color w:val="000000"/>
        </w:rPr>
        <w:t>, 2005, 27, marzo.</w:t>
      </w:r>
    </w:p>
    <w:p w14:paraId="30C4518C"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Ley de Organización y Funciones del Ministerio de Defensa (</w:t>
      </w:r>
      <w:r w:rsidRPr="005603AE">
        <w:rPr>
          <w:rFonts w:ascii="Times New Roman" w:eastAsia="Times New Roman" w:hAnsi="Times New Roman" w:cs="Times New Roman"/>
          <w:i/>
          <w:color w:val="000000"/>
        </w:rPr>
        <w:t>Decreto Legislativo Nº 1134</w:t>
      </w:r>
      <w:r w:rsidRPr="005603AE">
        <w:rPr>
          <w:rFonts w:ascii="Times New Roman" w:eastAsia="Times New Roman" w:hAnsi="Times New Roman" w:cs="Times New Roman"/>
          <w:color w:val="000000"/>
        </w:rPr>
        <w:t>). A</w:t>
      </w:r>
      <w:r w:rsidRPr="005603AE">
        <w:rPr>
          <w:rFonts w:ascii="Times New Roman" w:eastAsia="Times New Roman" w:hAnsi="Times New Roman" w:cs="Times New Roman"/>
          <w:i/>
          <w:color w:val="000000"/>
        </w:rPr>
        <w:t>prueba la Ley de Organización y Funciones del Ministerio de Defensa</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480420</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El Peruano</w:t>
      </w:r>
      <w:r w:rsidRPr="005603AE">
        <w:rPr>
          <w:rFonts w:ascii="Times New Roman" w:eastAsia="Times New Roman" w:hAnsi="Times New Roman" w:cs="Times New Roman"/>
          <w:color w:val="000000"/>
        </w:rPr>
        <w:t>, 2012, 09, diciembre.</w:t>
      </w:r>
    </w:p>
    <w:p w14:paraId="76793C00"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Libro Blanco de la Defensa Nacional (2006). Calidad gráfica. Abril.</w:t>
      </w:r>
    </w:p>
    <w:p w14:paraId="23FFCB88" w14:textId="77777777" w:rsidR="00F37B5D" w:rsidRPr="005603AE" w:rsidRDefault="00F37B5D" w:rsidP="00F37B5D">
      <w:pPr>
        <w:pBdr>
          <w:top w:val="nil"/>
          <w:left w:val="nil"/>
          <w:bottom w:val="nil"/>
          <w:right w:val="nil"/>
          <w:between w:val="nil"/>
        </w:pBdr>
        <w:ind w:left="720" w:hanging="12"/>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u w:val="single"/>
        </w:rPr>
        <w:t>https://cdn.www.gob.pe/uploads/document/file/397073/Libro_blanco.pdf?v=1571692716</w:t>
      </w:r>
    </w:p>
    <w:p w14:paraId="272FD9E1"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López, P., y Fachelli, S. (2015). </w:t>
      </w:r>
      <w:r w:rsidRPr="005603AE">
        <w:rPr>
          <w:rFonts w:ascii="Times New Roman" w:eastAsia="Times New Roman" w:hAnsi="Times New Roman" w:cs="Times New Roman"/>
          <w:i/>
          <w:color w:val="000000"/>
        </w:rPr>
        <w:t>Metodología de la Investigación social cuantitativa.</w:t>
      </w:r>
      <w:r w:rsidRPr="005603AE">
        <w:rPr>
          <w:rFonts w:ascii="Times New Roman" w:eastAsia="Times New Roman" w:hAnsi="Times New Roman" w:cs="Times New Roman"/>
          <w:color w:val="000000"/>
        </w:rPr>
        <w:t xml:space="preserve"> Editorial UAB. </w:t>
      </w:r>
      <w:hyperlink r:id="rId55">
        <w:r w:rsidRPr="005603AE">
          <w:rPr>
            <w:rFonts w:ascii="Times New Roman" w:eastAsia="Times New Roman" w:hAnsi="Times New Roman" w:cs="Times New Roman"/>
            <w:color w:val="000000"/>
            <w:u w:val="single"/>
          </w:rPr>
          <w:t>https://ddd.uab.cat/pub/caplli/2016/163567/metinvsoccua_a2016_cap2-3.pdf</w:t>
        </w:r>
      </w:hyperlink>
    </w:p>
    <w:p w14:paraId="71C64C6D"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lastRenderedPageBreak/>
        <w:t xml:space="preserve">Moncada, L. (2021). </w:t>
      </w:r>
      <w:r w:rsidRPr="005603AE">
        <w:rPr>
          <w:rFonts w:ascii="Times New Roman" w:eastAsia="Times New Roman" w:hAnsi="Times New Roman" w:cs="Times New Roman"/>
          <w:i/>
          <w:color w:val="000000"/>
        </w:rPr>
        <w:t>Gestión de riesgo de desastre y la vulnerabilidad en la población de la Municipalidad Provincial del Santa, 2019.</w:t>
      </w:r>
      <w:r w:rsidRPr="005603AE">
        <w:rPr>
          <w:rFonts w:ascii="Times New Roman" w:eastAsia="Times New Roman" w:hAnsi="Times New Roman" w:cs="Times New Roman"/>
          <w:color w:val="000000"/>
        </w:rPr>
        <w:t xml:space="preserve"> [Tesis de maestría, Universidad Cesar Vallejo]. Repositorio de la UCV. </w:t>
      </w:r>
      <w:hyperlink r:id="rId56">
        <w:r w:rsidRPr="005603AE">
          <w:rPr>
            <w:rFonts w:ascii="Times New Roman" w:eastAsia="Times New Roman" w:hAnsi="Times New Roman" w:cs="Times New Roman"/>
            <w:color w:val="000000"/>
            <w:u w:val="single"/>
          </w:rPr>
          <w:t>https://hdl.handle.net/20.500.12692/65122</w:t>
        </w:r>
      </w:hyperlink>
    </w:p>
    <w:p w14:paraId="5F6EDA92"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lang w:val="fr-FR"/>
        </w:rPr>
      </w:pPr>
      <w:r w:rsidRPr="005603AE">
        <w:rPr>
          <w:rFonts w:ascii="Times New Roman" w:eastAsia="Times New Roman" w:hAnsi="Times New Roman" w:cs="Times New Roman"/>
          <w:color w:val="000000"/>
        </w:rPr>
        <w:t xml:space="preserve">Naciones Unidas (2015). </w:t>
      </w:r>
      <w:r w:rsidRPr="005603AE">
        <w:rPr>
          <w:rFonts w:ascii="Times New Roman" w:eastAsia="Times New Roman" w:hAnsi="Times New Roman" w:cs="Times New Roman"/>
          <w:i/>
          <w:color w:val="000000"/>
        </w:rPr>
        <w:t>Marco de Sendai para la Reducción del Riesgo de Desastres 2015-2030</w:t>
      </w:r>
      <w:r w:rsidRPr="005603AE">
        <w:rPr>
          <w:rFonts w:ascii="Times New Roman" w:eastAsia="Times New Roman" w:hAnsi="Times New Roman" w:cs="Times New Roman"/>
          <w:color w:val="000000"/>
        </w:rPr>
        <w:t xml:space="preserve">. </w:t>
      </w:r>
      <w:hyperlink r:id="rId57">
        <w:r w:rsidRPr="005603AE">
          <w:rPr>
            <w:rFonts w:ascii="Times New Roman" w:eastAsia="Times New Roman" w:hAnsi="Times New Roman" w:cs="Times New Roman"/>
            <w:color w:val="000000"/>
            <w:u w:val="single"/>
            <w:lang w:val="fr-FR"/>
          </w:rPr>
          <w:t>https://www.unisdr.org/files/43291_spanishsendaiframeworkfordisasterri.pdf</w:t>
        </w:r>
      </w:hyperlink>
    </w:p>
    <w:p w14:paraId="3AC3FF50"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lang w:val="fr-FR"/>
        </w:rPr>
        <w:t xml:space="preserve">Narváez, L., Lavell A. y Pérez G. (2009). </w:t>
      </w:r>
      <w:r w:rsidRPr="005603AE">
        <w:rPr>
          <w:rFonts w:ascii="Times New Roman" w:eastAsia="Times New Roman" w:hAnsi="Times New Roman" w:cs="Times New Roman"/>
          <w:i/>
          <w:color w:val="000000"/>
        </w:rPr>
        <w:t>La</w:t>
      </w:r>
      <w:r w:rsidRPr="005603AE">
        <w:rPr>
          <w:rFonts w:ascii="Times New Roman" w:eastAsia="Times New Roman" w:hAnsi="Times New Roman" w:cs="Times New Roman"/>
          <w:color w:val="000000"/>
        </w:rPr>
        <w:t xml:space="preserve"> </w:t>
      </w:r>
      <w:r w:rsidRPr="005603AE">
        <w:rPr>
          <w:rFonts w:ascii="Times New Roman" w:eastAsia="Times New Roman" w:hAnsi="Times New Roman" w:cs="Times New Roman"/>
          <w:i/>
          <w:color w:val="000000"/>
        </w:rPr>
        <w:t>Gestión de Riesgos de Desastres un enfoque basado en procesos</w:t>
      </w:r>
      <w:r w:rsidRPr="005603AE">
        <w:rPr>
          <w:rFonts w:ascii="Times New Roman" w:eastAsia="Times New Roman" w:hAnsi="Times New Roman" w:cs="Times New Roman"/>
          <w:color w:val="000000"/>
        </w:rPr>
        <w:t>. Lima, Perú: Secretaría General Comunidad Andina.</w:t>
      </w:r>
    </w:p>
    <w:p w14:paraId="0C266599" w14:textId="77777777" w:rsidR="00F37B5D" w:rsidRPr="005603AE" w:rsidRDefault="000B67FE" w:rsidP="00F37B5D">
      <w:pPr>
        <w:pBdr>
          <w:top w:val="nil"/>
          <w:left w:val="nil"/>
          <w:bottom w:val="nil"/>
          <w:right w:val="nil"/>
          <w:between w:val="nil"/>
        </w:pBdr>
        <w:ind w:left="720" w:hanging="720"/>
        <w:jc w:val="both"/>
        <w:rPr>
          <w:rFonts w:ascii="Times New Roman" w:hAnsi="Times New Roman" w:cs="Times New Roman"/>
        </w:rPr>
      </w:pPr>
      <w:hyperlink r:id="rId58" w:history="1">
        <w:r w:rsidR="00F37B5D" w:rsidRPr="005603AE">
          <w:rPr>
            <w:rFonts w:ascii="Times New Roman" w:eastAsia="Times New Roman" w:hAnsi="Times New Roman" w:cs="Times New Roman"/>
            <w:color w:val="000000"/>
          </w:rPr>
          <w:t>Nicole Elizabeth</w:t>
        </w:r>
      </w:hyperlink>
      <w:r w:rsidR="00F37B5D" w:rsidRPr="005603AE">
        <w:rPr>
          <w:rFonts w:ascii="Times New Roman" w:eastAsia="Times New Roman" w:hAnsi="Times New Roman" w:cs="Times New Roman"/>
          <w:color w:val="000000"/>
        </w:rPr>
        <w:t xml:space="preserve"> Carbajal (2016)</w:t>
      </w:r>
      <w:r w:rsidR="00F37B5D" w:rsidRPr="005603AE">
        <w:rPr>
          <w:rFonts w:ascii="Times New Roman" w:hAnsi="Times New Roman" w:cs="Times New Roman"/>
        </w:rPr>
        <w:t>.</w:t>
      </w:r>
      <w:r w:rsidR="00F37B5D" w:rsidRPr="005603AE">
        <w:rPr>
          <w:rFonts w:ascii="Times New Roman" w:eastAsia="Times New Roman" w:hAnsi="Times New Roman" w:cs="Times New Roman"/>
          <w:color w:val="000000"/>
        </w:rPr>
        <w:t xml:space="preserve"> </w:t>
      </w:r>
      <w:r w:rsidR="00F37B5D" w:rsidRPr="005603AE">
        <w:rPr>
          <w:rFonts w:ascii="Times New Roman" w:eastAsia="Times New Roman" w:hAnsi="Times New Roman" w:cs="Times New Roman"/>
          <w:i/>
          <w:color w:val="000000"/>
        </w:rPr>
        <w:t>Artículo Defensa Nacional</w:t>
      </w:r>
      <w:r w:rsidR="00F37B5D" w:rsidRPr="005603AE">
        <w:rPr>
          <w:rFonts w:ascii="Times New Roman" w:eastAsia="Times New Roman" w:hAnsi="Times New Roman" w:cs="Times New Roman"/>
          <w:color w:val="000000"/>
        </w:rPr>
        <w:t>. Repositorio Acceso Libre a Información Científica para la Innovación.</w:t>
      </w:r>
    </w:p>
    <w:p w14:paraId="381467A3" w14:textId="77777777" w:rsidR="00F37B5D" w:rsidRPr="005603AE" w:rsidRDefault="000B67FE" w:rsidP="00F37B5D">
      <w:pPr>
        <w:pBdr>
          <w:top w:val="nil"/>
          <w:left w:val="nil"/>
          <w:bottom w:val="nil"/>
          <w:right w:val="nil"/>
          <w:between w:val="nil"/>
        </w:pBdr>
        <w:ind w:left="720" w:hanging="12"/>
        <w:jc w:val="both"/>
        <w:rPr>
          <w:rFonts w:ascii="Times New Roman" w:eastAsia="Times New Roman" w:hAnsi="Times New Roman" w:cs="Times New Roman"/>
          <w:color w:val="000000"/>
          <w:u w:val="single"/>
        </w:rPr>
      </w:pPr>
      <w:hyperlink r:id="rId59" w:anchor=":~:text=Defensa%20nacional%20son%20las%20actividades,%2C%20como%20grupos%20terr" w:history="1">
        <w:r w:rsidR="00F37B5D" w:rsidRPr="005603AE">
          <w:rPr>
            <w:rFonts w:ascii="Times New Roman" w:eastAsia="Times New Roman" w:hAnsi="Times New Roman" w:cs="Times New Roman"/>
            <w:color w:val="000000"/>
            <w:u w:val="single"/>
          </w:rPr>
          <w:t>https://alicia.concytec.gob.pe/vufind/Record/UASF_38e32aebbb2fdbe18a5af549ac45f21e#:~:text=Defensa%20nacional%20son%20las%20actividades,%2C%20como%20grupos%20terr</w:t>
        </w:r>
      </w:hyperlink>
    </w:p>
    <w:p w14:paraId="01D8B5E1"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Organización Panamericana de la Salud (1993). </w:t>
      </w:r>
      <w:r w:rsidRPr="005603AE">
        <w:rPr>
          <w:rFonts w:ascii="Times New Roman" w:eastAsia="Times New Roman" w:hAnsi="Times New Roman" w:cs="Times New Roman"/>
          <w:i/>
          <w:color w:val="000000"/>
        </w:rPr>
        <w:t>Mitigation de Desastres en las Instalaciones de la Salud - Volumen 3: Aspectos de Arquitectura.</w:t>
      </w:r>
      <w:r w:rsidRPr="005603AE">
        <w:rPr>
          <w:rFonts w:ascii="Times New Roman" w:eastAsia="Times New Roman" w:hAnsi="Times New Roman" w:cs="Times New Roman"/>
          <w:color w:val="000000"/>
        </w:rPr>
        <w:t xml:space="preserve"> 1993.</w:t>
      </w:r>
    </w:p>
    <w:p w14:paraId="71C62E29"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ab/>
      </w:r>
      <w:r w:rsidRPr="005603AE">
        <w:rPr>
          <w:rFonts w:ascii="Times New Roman" w:eastAsia="Times New Roman" w:hAnsi="Times New Roman" w:cs="Times New Roman"/>
          <w:color w:val="000000"/>
          <w:u w:val="single"/>
        </w:rPr>
        <w:t>http://cidbimena.desastres.hn/docum/ops/publicaciones/m0056s/m0056s.4.htm#:~:text=Un%20desastre%20puede%20definirse%20como,una%20colectividad%20y%2Fo%20da%C3%B1os</w:t>
      </w:r>
    </w:p>
    <w:p w14:paraId="5AE5C84A"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i/>
          <w:color w:val="000000"/>
        </w:rPr>
      </w:pPr>
      <w:r w:rsidRPr="005603AE">
        <w:rPr>
          <w:rFonts w:ascii="Times New Roman" w:eastAsia="Times New Roman" w:hAnsi="Times New Roman" w:cs="Times New Roman"/>
          <w:color w:val="000000"/>
        </w:rPr>
        <w:t xml:space="preserve">Omar Darío Cardona A. (1993). </w:t>
      </w:r>
      <w:r w:rsidRPr="005603AE">
        <w:rPr>
          <w:rFonts w:ascii="Times New Roman" w:eastAsia="Times New Roman" w:hAnsi="Times New Roman" w:cs="Times New Roman"/>
          <w:i/>
          <w:color w:val="000000"/>
        </w:rPr>
        <w:t>Evaluación de la amenaza, la vulnerabilidad y el riesgo: "Elementos para el Ordenamiento y la Planeación del Desarrollo".</w:t>
      </w:r>
    </w:p>
    <w:p w14:paraId="3C41B74B" w14:textId="77777777" w:rsidR="00F37B5D" w:rsidRPr="005603AE" w:rsidRDefault="000B67FE" w:rsidP="00F37B5D">
      <w:pPr>
        <w:pBdr>
          <w:top w:val="nil"/>
          <w:left w:val="nil"/>
          <w:bottom w:val="nil"/>
          <w:right w:val="nil"/>
          <w:between w:val="nil"/>
        </w:pBdr>
        <w:spacing w:after="200"/>
        <w:ind w:left="720" w:hanging="12"/>
        <w:jc w:val="both"/>
        <w:rPr>
          <w:rFonts w:ascii="Times New Roman" w:eastAsia="Times New Roman" w:hAnsi="Times New Roman" w:cs="Times New Roman"/>
          <w:color w:val="000000"/>
          <w:u w:val="single"/>
        </w:rPr>
      </w:pPr>
      <w:hyperlink r:id="rId60" w:history="1">
        <w:r w:rsidR="00F37B5D" w:rsidRPr="005603AE">
          <w:rPr>
            <w:rFonts w:ascii="Times New Roman" w:eastAsia="Times New Roman" w:hAnsi="Times New Roman" w:cs="Times New Roman"/>
            <w:color w:val="000000"/>
            <w:u w:val="single"/>
          </w:rPr>
          <w:t>https://www.desenredando.org/public/libros/1993/ldnsn/html/cap3.htm</w:t>
        </w:r>
      </w:hyperlink>
    </w:p>
    <w:p w14:paraId="40218E1D"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Piedra, H. (2020). </w:t>
      </w:r>
      <w:r w:rsidRPr="005603AE">
        <w:rPr>
          <w:rFonts w:ascii="Times New Roman" w:eastAsia="Times New Roman" w:hAnsi="Times New Roman" w:cs="Times New Roman"/>
          <w:i/>
          <w:color w:val="000000"/>
        </w:rPr>
        <w:t>Los roles de las Fuerzas Armadas del Ecuador frente a los desafíos del cambio climático.</w:t>
      </w:r>
      <w:r w:rsidRPr="005603AE">
        <w:rPr>
          <w:rFonts w:ascii="Times New Roman" w:eastAsia="Times New Roman" w:hAnsi="Times New Roman" w:cs="Times New Roman"/>
          <w:color w:val="000000"/>
        </w:rPr>
        <w:t xml:space="preserve"> [Tesis de maestría. Universidad Andina Simón Bolívar]. Repositorio de la UASB. </w:t>
      </w:r>
      <w:hyperlink r:id="rId61">
        <w:r w:rsidRPr="005603AE">
          <w:rPr>
            <w:rFonts w:ascii="Times New Roman" w:eastAsia="Times New Roman" w:hAnsi="Times New Roman" w:cs="Times New Roman"/>
            <w:color w:val="000000"/>
            <w:u w:val="single"/>
          </w:rPr>
          <w:t>http://hdl.handle.net/10644/7975</w:t>
        </w:r>
      </w:hyperlink>
    </w:p>
    <w:p w14:paraId="6255CE84"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lastRenderedPageBreak/>
        <w:t>Plan Nacional de Operaciones de Emergencia INDECI (Decreto Supremo Nº 098-2007-PCM). Ap</w:t>
      </w:r>
      <w:r w:rsidRPr="005603AE">
        <w:rPr>
          <w:rFonts w:ascii="Times New Roman" w:eastAsia="Times New Roman" w:hAnsi="Times New Roman" w:cs="Times New Roman"/>
          <w:i/>
          <w:color w:val="000000"/>
        </w:rPr>
        <w:t>rueba el Plan Nacional de Operaciones de Emergencia INDECI</w:t>
      </w:r>
      <w:r w:rsidRPr="005603AE">
        <w:rPr>
          <w:rFonts w:ascii="Times New Roman" w:eastAsia="Times New Roman" w:hAnsi="Times New Roman" w:cs="Times New Roman"/>
          <w:color w:val="000000"/>
        </w:rPr>
        <w:t>. El Peruano, 2007, 18, diciembre.</w:t>
      </w:r>
    </w:p>
    <w:p w14:paraId="10E091F2"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Plan de contingencia (Resolución Ministerial N° 0527-2020-DE/SG). </w:t>
      </w:r>
      <w:r w:rsidRPr="005603AE">
        <w:rPr>
          <w:rFonts w:ascii="Times New Roman" w:eastAsia="Times New Roman" w:hAnsi="Times New Roman" w:cs="Times New Roman"/>
          <w:i/>
          <w:color w:val="000000"/>
        </w:rPr>
        <w:t>Aprueban el Plan de Contingencia del Sector Defensa ante lluvias intensas</w:t>
      </w:r>
      <w:r w:rsidRPr="005603AE">
        <w:rPr>
          <w:rFonts w:ascii="Times New Roman" w:eastAsia="Times New Roman" w:hAnsi="Times New Roman" w:cs="Times New Roman"/>
          <w:color w:val="000000"/>
        </w:rPr>
        <w:t>. Ministerio de Defensa, 2020, 23, septiembre.</w:t>
      </w:r>
    </w:p>
    <w:p w14:paraId="124BAB49"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Plan de contingencia (Resolución Ministerial N° 0528-2020-DE/SG). </w:t>
      </w:r>
      <w:r w:rsidRPr="005603AE">
        <w:rPr>
          <w:rFonts w:ascii="Times New Roman" w:eastAsia="Times New Roman" w:hAnsi="Times New Roman" w:cs="Times New Roman"/>
          <w:i/>
          <w:color w:val="000000"/>
        </w:rPr>
        <w:t>Aprueban el Plan de Contingencia ante Sismo de Gran Magnitud seguido por Tsunami en la Costa Central del Perú</w:t>
      </w:r>
      <w:r w:rsidRPr="005603AE">
        <w:rPr>
          <w:rFonts w:ascii="Times New Roman" w:eastAsia="Times New Roman" w:hAnsi="Times New Roman" w:cs="Times New Roman"/>
          <w:color w:val="000000"/>
        </w:rPr>
        <w:t>. Ministerio de Defensa, 2020, 23, septiembre.</w:t>
      </w:r>
    </w:p>
    <w:p w14:paraId="7BF6D619"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Plan SAR (Resolución Ministerial N° 0529-2020-DE/SG). </w:t>
      </w:r>
      <w:r w:rsidRPr="005603AE">
        <w:rPr>
          <w:rFonts w:ascii="Times New Roman" w:eastAsia="Times New Roman" w:hAnsi="Times New Roman" w:cs="Times New Roman"/>
          <w:i/>
          <w:color w:val="000000"/>
        </w:rPr>
        <w:t xml:space="preserve">Aprueban el Plan Nacional de Búsqueda y Salvamento. </w:t>
      </w:r>
      <w:r w:rsidRPr="005603AE">
        <w:rPr>
          <w:rFonts w:ascii="Times New Roman" w:eastAsia="Times New Roman" w:hAnsi="Times New Roman" w:cs="Times New Roman"/>
          <w:color w:val="000000"/>
        </w:rPr>
        <w:t>Ministerio de Defensa, 2020, 23, septiembre.</w:t>
      </w:r>
    </w:p>
    <w:p w14:paraId="47808155"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Plan de preparación (Resolución Ministerial N° 0396-2021-DE/SG). </w:t>
      </w:r>
      <w:r w:rsidRPr="005603AE">
        <w:rPr>
          <w:rFonts w:ascii="Times New Roman" w:eastAsia="Times New Roman" w:hAnsi="Times New Roman" w:cs="Times New Roman"/>
          <w:i/>
          <w:color w:val="000000"/>
        </w:rPr>
        <w:t>Aprueban el Plan de Preparación del Sector Defensa ante lluvias intensas</w:t>
      </w:r>
      <w:r w:rsidRPr="005603AE">
        <w:rPr>
          <w:rFonts w:ascii="Times New Roman" w:eastAsia="Times New Roman" w:hAnsi="Times New Roman" w:cs="Times New Roman"/>
          <w:color w:val="000000"/>
        </w:rPr>
        <w:t>. Ministerio de Defensa, 2020, 27, julio.</w:t>
      </w:r>
    </w:p>
    <w:p w14:paraId="27EE6449" w14:textId="77777777" w:rsidR="00F37B5D"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Política para la Defensa y Seguridad Nac</w:t>
      </w:r>
      <w:r>
        <w:rPr>
          <w:rFonts w:ascii="Times New Roman" w:eastAsia="Times New Roman" w:hAnsi="Times New Roman" w:cs="Times New Roman"/>
          <w:color w:val="000000"/>
        </w:rPr>
        <w:t>ional al</w:t>
      </w:r>
      <w:r w:rsidRPr="005603AE">
        <w:rPr>
          <w:rFonts w:ascii="Times New Roman" w:eastAsia="Times New Roman" w:hAnsi="Times New Roman" w:cs="Times New Roman"/>
          <w:color w:val="000000"/>
        </w:rPr>
        <w:t xml:space="preserve"> 2017</w:t>
      </w:r>
      <w:r>
        <w:rPr>
          <w:rFonts w:ascii="Times New Roman" w:eastAsia="Times New Roman" w:hAnsi="Times New Roman" w:cs="Times New Roman"/>
          <w:color w:val="000000"/>
        </w:rPr>
        <w:t>(</w:t>
      </w:r>
      <w:r w:rsidRPr="005603AE">
        <w:rPr>
          <w:rFonts w:ascii="Times New Roman" w:eastAsia="Times New Roman" w:hAnsi="Times New Roman" w:cs="Times New Roman"/>
          <w:color w:val="000000"/>
        </w:rPr>
        <w:t>Decreto Supremo N° 0</w:t>
      </w:r>
      <w:r>
        <w:rPr>
          <w:rFonts w:ascii="Times New Roman" w:eastAsia="Times New Roman" w:hAnsi="Times New Roman" w:cs="Times New Roman"/>
          <w:color w:val="000000"/>
        </w:rPr>
        <w:t>12-20</w:t>
      </w:r>
      <w:r w:rsidRPr="005603AE">
        <w:rPr>
          <w:rFonts w:ascii="Times New Roman" w:eastAsia="Times New Roman" w:hAnsi="Times New Roman" w:cs="Times New Roman"/>
          <w:color w:val="000000"/>
        </w:rPr>
        <w:t>1</w:t>
      </w:r>
      <w:r>
        <w:rPr>
          <w:rFonts w:ascii="Times New Roman" w:eastAsia="Times New Roman" w:hAnsi="Times New Roman" w:cs="Times New Roman"/>
          <w:color w:val="000000"/>
        </w:rPr>
        <w:t>7</w:t>
      </w:r>
      <w:r w:rsidRPr="005603AE">
        <w:rPr>
          <w:rFonts w:ascii="Times New Roman" w:eastAsia="Times New Roman" w:hAnsi="Times New Roman" w:cs="Times New Roman"/>
          <w:color w:val="000000"/>
        </w:rPr>
        <w:t>-PCM</w:t>
      </w:r>
      <w:r>
        <w:rPr>
          <w:rFonts w:ascii="Times New Roman" w:eastAsia="Times New Roman" w:hAnsi="Times New Roman" w:cs="Times New Roman"/>
          <w:color w:val="000000"/>
        </w:rPr>
        <w:t xml:space="preserve">). </w:t>
      </w:r>
      <w:r w:rsidRPr="005603AE">
        <w:rPr>
          <w:rFonts w:ascii="Times New Roman" w:eastAsia="Times New Roman" w:hAnsi="Times New Roman" w:cs="Times New Roman"/>
          <w:color w:val="000000"/>
        </w:rPr>
        <w:t>Aprueba la Política Nacional de Gestión del Riesgo de Desastres al 20</w:t>
      </w:r>
      <w:r>
        <w:rPr>
          <w:rFonts w:ascii="Times New Roman" w:eastAsia="Times New Roman" w:hAnsi="Times New Roman" w:cs="Times New Roman"/>
          <w:color w:val="000000"/>
        </w:rPr>
        <w:t>17</w:t>
      </w:r>
      <w:r w:rsidRPr="005603AE">
        <w:rPr>
          <w:rFonts w:ascii="Times New Roman" w:eastAsia="Times New Roman" w:hAnsi="Times New Roman" w:cs="Times New Roman"/>
          <w:color w:val="000000"/>
        </w:rPr>
        <w:t>. Presidencia del Consejo de Ministros, 201</w:t>
      </w:r>
      <w:r>
        <w:rPr>
          <w:rFonts w:ascii="Times New Roman" w:eastAsia="Times New Roman" w:hAnsi="Times New Roman" w:cs="Times New Roman"/>
          <w:color w:val="000000"/>
        </w:rPr>
        <w:t>7, 22</w:t>
      </w:r>
      <w:r w:rsidRPr="005603AE">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diciembre</w:t>
      </w:r>
      <w:r w:rsidRPr="005603AE">
        <w:rPr>
          <w:rFonts w:ascii="Times New Roman" w:eastAsia="Times New Roman" w:hAnsi="Times New Roman" w:cs="Times New Roman"/>
          <w:color w:val="000000"/>
        </w:rPr>
        <w:t>.</w:t>
      </w:r>
    </w:p>
    <w:p w14:paraId="7F8A0627" w14:textId="77777777" w:rsidR="00F37B5D" w:rsidRPr="005603AE" w:rsidRDefault="00F37B5D" w:rsidP="00F37B5D">
      <w:pPr>
        <w:pBdr>
          <w:top w:val="nil"/>
          <w:left w:val="nil"/>
          <w:bottom w:val="nil"/>
          <w:right w:val="nil"/>
          <w:between w:val="nil"/>
        </w:pBdr>
        <w:spacing w:after="200"/>
        <w:ind w:left="720" w:hanging="12"/>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u w:val="single"/>
        </w:rPr>
        <w:t>https://busquedas.elperuano.pe/normaslegales/decreto-supremo-que-aprueba-la-politica-de-seguridad-y-defen-decreto-supremo-n-012-2017-de-1600032-1/</w:t>
      </w:r>
    </w:p>
    <w:p w14:paraId="6D1B0ADD"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Política Nacional de Gestión del Riesgo de Desastres al 2050 (Decreto Supremo N° 038-2021-PCM). </w:t>
      </w:r>
      <w:r w:rsidRPr="005603AE">
        <w:rPr>
          <w:rFonts w:ascii="Times New Roman" w:eastAsia="Times New Roman" w:hAnsi="Times New Roman" w:cs="Times New Roman"/>
          <w:i/>
          <w:color w:val="000000"/>
        </w:rPr>
        <w:t>Aprueba la Política Nacional de Gestión del Riesgo de Desastres al 2050</w:t>
      </w:r>
      <w:r w:rsidRPr="005603AE">
        <w:rPr>
          <w:rFonts w:ascii="Times New Roman" w:eastAsia="Times New Roman" w:hAnsi="Times New Roman" w:cs="Times New Roman"/>
          <w:color w:val="000000"/>
        </w:rPr>
        <w:t>. Presidencia del Consejo de Ministros, 2021, 01, marzo.</w:t>
      </w:r>
    </w:p>
    <w:p w14:paraId="417CB480"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Quispe, C. (2022). </w:t>
      </w:r>
      <w:r w:rsidRPr="005603AE">
        <w:rPr>
          <w:rFonts w:ascii="Times New Roman" w:eastAsia="Times New Roman" w:hAnsi="Times New Roman" w:cs="Times New Roman"/>
          <w:i/>
          <w:color w:val="000000"/>
        </w:rPr>
        <w:t>Gestión del riesgo de desastres y eficiencia operativa en la Primera Brigada de Caballería, Piura 2020.</w:t>
      </w:r>
      <w:r w:rsidRPr="005603AE">
        <w:rPr>
          <w:rFonts w:ascii="Times New Roman" w:eastAsia="Times New Roman" w:hAnsi="Times New Roman" w:cs="Times New Roman"/>
          <w:color w:val="000000"/>
        </w:rPr>
        <w:t xml:space="preserve"> [Tesis de maestría, </w:t>
      </w:r>
      <w:r w:rsidRPr="005603AE">
        <w:rPr>
          <w:rFonts w:ascii="Times New Roman" w:eastAsia="Times New Roman" w:hAnsi="Times New Roman" w:cs="Times New Roman"/>
          <w:color w:val="000000"/>
        </w:rPr>
        <w:lastRenderedPageBreak/>
        <w:t xml:space="preserve">Universidad Cesar Vallejo]. Repositorio de la UCV. </w:t>
      </w:r>
      <w:hyperlink r:id="rId62">
        <w:r w:rsidRPr="005603AE">
          <w:rPr>
            <w:rFonts w:ascii="Times New Roman" w:eastAsia="Times New Roman" w:hAnsi="Times New Roman" w:cs="Times New Roman"/>
            <w:color w:val="000000"/>
            <w:u w:val="single"/>
          </w:rPr>
          <w:t>https://hdl.handle.net/20.500.12692/84631</w:t>
        </w:r>
      </w:hyperlink>
    </w:p>
    <w:p w14:paraId="682561D9"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Reglamento de la Ley del Sistema Nacional de Gestión del Riesgo de Desastres. (Decreto Supremo N° 048-2011-PCM).</w:t>
      </w:r>
      <w:r w:rsidRPr="005603AE">
        <w:rPr>
          <w:rFonts w:ascii="Times New Roman" w:eastAsia="Times New Roman" w:hAnsi="Times New Roman" w:cs="Times New Roman"/>
          <w:i/>
          <w:color w:val="000000"/>
        </w:rPr>
        <w:t xml:space="preserve"> Aprueba el Reglamento de la Ley del Sistema Nacional de Gestión del Riesgo de Desastres.</w:t>
      </w:r>
      <w:r w:rsidRPr="005603AE">
        <w:rPr>
          <w:rFonts w:ascii="Times New Roman" w:hAnsi="Times New Roman" w:cs="Times New Roman"/>
          <w:color w:val="000000"/>
        </w:rPr>
        <w:t xml:space="preserve"> </w:t>
      </w:r>
      <w:r w:rsidRPr="005603AE">
        <w:rPr>
          <w:rFonts w:ascii="Times New Roman" w:eastAsia="Times New Roman" w:hAnsi="Times New Roman" w:cs="Times New Roman"/>
          <w:i/>
          <w:color w:val="000000"/>
        </w:rPr>
        <w:t>443206</w:t>
      </w:r>
      <w:r w:rsidRPr="005603AE">
        <w:rPr>
          <w:rFonts w:ascii="Times New Roman" w:hAnsi="Times New Roman" w:cs="Times New Roman"/>
          <w:i/>
          <w:color w:val="000000"/>
        </w:rPr>
        <w:t xml:space="preserve"> </w:t>
      </w:r>
      <w:r w:rsidRPr="005603AE">
        <w:rPr>
          <w:rFonts w:ascii="Times New Roman" w:eastAsia="Times New Roman" w:hAnsi="Times New Roman" w:cs="Times New Roman"/>
          <w:i/>
          <w:color w:val="000000"/>
        </w:rPr>
        <w:t>El Peruano</w:t>
      </w:r>
      <w:r w:rsidRPr="005603AE">
        <w:rPr>
          <w:rFonts w:ascii="Times New Roman" w:eastAsia="Times New Roman" w:hAnsi="Times New Roman" w:cs="Times New Roman"/>
          <w:color w:val="000000"/>
        </w:rPr>
        <w:t>, 2011, 26, mayo.</w:t>
      </w:r>
    </w:p>
    <w:p w14:paraId="7D27A961"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Rivera, J. (1995). </w:t>
      </w:r>
      <w:r w:rsidRPr="005603AE">
        <w:rPr>
          <w:rFonts w:ascii="Times New Roman" w:eastAsia="Times New Roman" w:hAnsi="Times New Roman" w:cs="Times New Roman"/>
          <w:i/>
          <w:color w:val="000000"/>
        </w:rPr>
        <w:t>La implementación: Un fenómeno organizativo Multidimensional.</w:t>
      </w:r>
      <w:r w:rsidRPr="005603AE">
        <w:rPr>
          <w:rFonts w:ascii="Times New Roman" w:eastAsia="Times New Roman" w:hAnsi="Times New Roman" w:cs="Times New Roman"/>
          <w:color w:val="000000"/>
        </w:rPr>
        <w:t xml:space="preserve"> Universidad Carlos III de Madrid- Departamento de Economía de la empresa.</w:t>
      </w:r>
    </w:p>
    <w:p w14:paraId="7599EF7D"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Resolución Ministerial N</w:t>
      </w:r>
      <w:r w:rsidRPr="005603AE">
        <w:rPr>
          <w:rFonts w:ascii="Times New Roman" w:eastAsia="Times New Roman" w:hAnsi="Times New Roman" w:cs="Times New Roman"/>
          <w:color w:val="000000"/>
          <w:vertAlign w:val="superscript"/>
        </w:rPr>
        <w:t>o</w:t>
      </w:r>
      <w:r w:rsidRPr="005603AE">
        <w:rPr>
          <w:rFonts w:ascii="Times New Roman" w:eastAsia="Times New Roman" w:hAnsi="Times New Roman" w:cs="Times New Roman"/>
          <w:color w:val="000000"/>
        </w:rPr>
        <w:t xml:space="preserve"> 1411-2016 DE/CCFFAA (2016). </w:t>
      </w:r>
      <w:r w:rsidRPr="005603AE">
        <w:rPr>
          <w:rFonts w:ascii="Times New Roman" w:eastAsia="Times New Roman" w:hAnsi="Times New Roman" w:cs="Times New Roman"/>
          <w:i/>
          <w:color w:val="000000"/>
        </w:rPr>
        <w:t>Roles Estratégicos de las Fuerzas Armadas con sus correspondientes definiciones y acciones estratégicas</w:t>
      </w:r>
      <w:r w:rsidRPr="005603AE">
        <w:rPr>
          <w:rFonts w:ascii="Times New Roman" w:eastAsia="Times New Roman" w:hAnsi="Times New Roman" w:cs="Times New Roman"/>
          <w:color w:val="000000"/>
        </w:rPr>
        <w:t>.</w:t>
      </w:r>
      <w:r w:rsidRPr="005603AE">
        <w:rPr>
          <w:rFonts w:ascii="Times New Roman" w:eastAsia="Times New Roman" w:hAnsi="Times New Roman" w:cs="Times New Roman"/>
          <w:i/>
          <w:color w:val="000000"/>
        </w:rPr>
        <w:t xml:space="preserve"> Aprueban los Roles Estratégicos de las Fuerzas Armadas con sus correspondientes definiciones y acciones estratégicas</w:t>
      </w:r>
      <w:r w:rsidRPr="005603AE">
        <w:rPr>
          <w:rFonts w:ascii="Times New Roman" w:eastAsia="Times New Roman" w:hAnsi="Times New Roman" w:cs="Times New Roman"/>
          <w:color w:val="000000"/>
        </w:rPr>
        <w:t>. Lima, Perú.</w:t>
      </w:r>
    </w:p>
    <w:p w14:paraId="2D8574FD"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u w:val="single"/>
        </w:rPr>
      </w:pPr>
      <w:r w:rsidRPr="005603AE">
        <w:rPr>
          <w:rFonts w:ascii="Times New Roman" w:eastAsia="Times New Roman" w:hAnsi="Times New Roman" w:cs="Times New Roman"/>
          <w:color w:val="000000"/>
        </w:rPr>
        <w:t xml:space="preserve">Sánchez, F. (2020). </w:t>
      </w:r>
      <w:r w:rsidRPr="005603AE">
        <w:rPr>
          <w:rFonts w:ascii="Times New Roman" w:eastAsia="Times New Roman" w:hAnsi="Times New Roman" w:cs="Times New Roman"/>
          <w:i/>
          <w:color w:val="000000"/>
        </w:rPr>
        <w:t>Participación ciudadana y la gestión del riesgo de desastres, mancomunidad municipal de Lima Este, carretera central, 2020.</w:t>
      </w:r>
      <w:r w:rsidRPr="005603AE">
        <w:rPr>
          <w:rFonts w:ascii="Times New Roman" w:eastAsia="Times New Roman" w:hAnsi="Times New Roman" w:cs="Times New Roman"/>
          <w:color w:val="000000"/>
        </w:rPr>
        <w:t xml:space="preserve"> [Tesis de maestría, Universidad Cesar Vallejo]. Repositorio de la UCV. https://hdl.handle.net/20.500.12692/47109</w:t>
      </w:r>
    </w:p>
    <w:p w14:paraId="73E5DB02"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Simkin, H. y Becerra, G. (2013). El proceso de socialización. Apuntes para su exploración</w:t>
      </w:r>
      <w:r w:rsidRPr="005603AE">
        <w:rPr>
          <w:rFonts w:ascii="Times New Roman" w:eastAsia="Times New Roman" w:hAnsi="Times New Roman" w:cs="Times New Roman"/>
          <w:i/>
          <w:color w:val="000000"/>
        </w:rPr>
        <w:t xml:space="preserve"> en el campo psicosocial</w:t>
      </w:r>
      <w:r w:rsidRPr="005603AE">
        <w:rPr>
          <w:rFonts w:ascii="Times New Roman" w:eastAsia="Times New Roman" w:hAnsi="Times New Roman" w:cs="Times New Roman"/>
          <w:color w:val="000000"/>
        </w:rPr>
        <w:t xml:space="preserve">. Ciencia, Docencia y Tecnología/ Vol. XXIV/ N°47. </w:t>
      </w:r>
    </w:p>
    <w:p w14:paraId="540FD868" w14:textId="77777777" w:rsidR="00F37B5D" w:rsidRPr="005603AE" w:rsidRDefault="00F37B5D" w:rsidP="00F37B5D">
      <w:pPr>
        <w:pStyle w:val="Textonotapie"/>
        <w:jc w:val="both"/>
        <w:rPr>
          <w:rFonts w:ascii="Times New Roman" w:hAnsi="Times New Roman" w:cs="Times New Roman"/>
          <w:sz w:val="16"/>
          <w:szCs w:val="16"/>
        </w:rPr>
      </w:pPr>
      <w:r w:rsidRPr="005603AE">
        <w:rPr>
          <w:rFonts w:ascii="Times New Roman" w:eastAsia="Times New Roman" w:hAnsi="Times New Roman" w:cs="Times New Roman"/>
          <w:color w:val="000000"/>
          <w:sz w:val="24"/>
          <w:szCs w:val="24"/>
        </w:rPr>
        <w:t>The Economist (2017).</w:t>
      </w:r>
      <w:r w:rsidRPr="005603AE">
        <w:rPr>
          <w:rFonts w:ascii="Times New Roman" w:hAnsi="Times New Roman" w:cs="Times New Roman"/>
          <w:sz w:val="16"/>
          <w:szCs w:val="16"/>
        </w:rPr>
        <w:t xml:space="preserve"> </w:t>
      </w:r>
      <w:r w:rsidRPr="005603AE">
        <w:rPr>
          <w:rFonts w:ascii="Times New Roman" w:eastAsia="Times New Roman" w:hAnsi="Times New Roman" w:cs="Times New Roman"/>
          <w:i/>
          <w:color w:val="000000"/>
          <w:sz w:val="24"/>
          <w:szCs w:val="24"/>
        </w:rPr>
        <w:t>Economía. - Las pérdidas económicas asociadas a desastres naturales alcanzan los 210.000 millones de dólares en 2016.</w:t>
      </w:r>
    </w:p>
    <w:p w14:paraId="7EEDF135" w14:textId="77777777" w:rsidR="00F37B5D" w:rsidRPr="005603AE" w:rsidRDefault="00F37B5D" w:rsidP="00F37B5D">
      <w:pPr>
        <w:pStyle w:val="Textonotapie"/>
        <w:rPr>
          <w:rFonts w:ascii="Times New Roman" w:hAnsi="Times New Roman" w:cs="Times New Roman"/>
          <w:sz w:val="16"/>
          <w:szCs w:val="16"/>
        </w:rPr>
      </w:pPr>
    </w:p>
    <w:p w14:paraId="094B7FE2" w14:textId="77777777" w:rsidR="00F37B5D" w:rsidRPr="005603AE" w:rsidRDefault="000B67FE" w:rsidP="00F37B5D">
      <w:pPr>
        <w:pStyle w:val="Textonotapie"/>
        <w:ind w:left="720"/>
        <w:jc w:val="both"/>
        <w:rPr>
          <w:rFonts w:ascii="Times New Roman" w:hAnsi="Times New Roman" w:cs="Times New Roman"/>
          <w:u w:val="single"/>
        </w:rPr>
      </w:pPr>
      <w:hyperlink r:id="rId63" w:history="1">
        <w:r w:rsidR="00F37B5D" w:rsidRPr="005603AE">
          <w:rPr>
            <w:rStyle w:val="Hipervnculo"/>
            <w:rFonts w:ascii="Times New Roman" w:eastAsia="Times New Roman" w:hAnsi="Times New Roman" w:cs="Times New Roman"/>
            <w:sz w:val="24"/>
            <w:szCs w:val="24"/>
          </w:rPr>
          <w:t>http://www.eleconomista.es/economia/noticias/8090136/01/17/Economia-Las-perdidas-economicas-asociadas-a-desastres-naturales-alcanzan-los-210000-millones-de-dolares-en-2016.html</w:t>
        </w:r>
      </w:hyperlink>
      <w:r w:rsidR="00F37B5D" w:rsidRPr="005603AE">
        <w:rPr>
          <w:rFonts w:ascii="Times New Roman" w:eastAsia="Times New Roman" w:hAnsi="Times New Roman" w:cs="Times New Roman"/>
          <w:sz w:val="24"/>
          <w:szCs w:val="24"/>
          <w:u w:val="single"/>
        </w:rPr>
        <w:t xml:space="preserve"> </w:t>
      </w:r>
    </w:p>
    <w:p w14:paraId="3075BDDF"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p>
    <w:p w14:paraId="3001D367" w14:textId="77777777" w:rsidR="00F37B5D" w:rsidRPr="005603AE" w:rsidRDefault="00F37B5D" w:rsidP="00F37B5D">
      <w:pPr>
        <w:pBdr>
          <w:top w:val="nil"/>
          <w:left w:val="nil"/>
          <w:bottom w:val="nil"/>
          <w:right w:val="nil"/>
          <w:between w:val="nil"/>
        </w:pBdr>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t xml:space="preserve">Vicuña, C. (2021). </w:t>
      </w:r>
      <w:r w:rsidRPr="005603AE">
        <w:rPr>
          <w:rFonts w:ascii="Times New Roman" w:eastAsia="Times New Roman" w:hAnsi="Times New Roman" w:cs="Times New Roman"/>
          <w:i/>
          <w:color w:val="000000"/>
        </w:rPr>
        <w:t>Gestión del riesgo de desastres y competencias profesionales del Batallón de Ingeniería de Construcción No 1 de Jazán, Bongar.</w:t>
      </w:r>
      <w:r w:rsidRPr="005603AE">
        <w:rPr>
          <w:rFonts w:ascii="Times New Roman" w:eastAsia="Times New Roman" w:hAnsi="Times New Roman" w:cs="Times New Roman"/>
          <w:color w:val="000000"/>
        </w:rPr>
        <w:t xml:space="preserve"> [Tesis de maestría, Universidad Cesar Vallejo]. Repositorio de la UCV. </w:t>
      </w:r>
      <w:hyperlink r:id="rId64">
        <w:r w:rsidRPr="005603AE">
          <w:rPr>
            <w:rFonts w:ascii="Times New Roman" w:eastAsia="Times New Roman" w:hAnsi="Times New Roman" w:cs="Times New Roman"/>
            <w:color w:val="000000"/>
            <w:u w:val="single"/>
          </w:rPr>
          <w:t>https://hdl.handle.net/20.500.12692/59588</w:t>
        </w:r>
      </w:hyperlink>
    </w:p>
    <w:p w14:paraId="5117E385" w14:textId="77777777" w:rsidR="00F37B5D" w:rsidRPr="005603AE" w:rsidRDefault="00F37B5D" w:rsidP="00F37B5D">
      <w:pPr>
        <w:pBdr>
          <w:top w:val="nil"/>
          <w:left w:val="nil"/>
          <w:bottom w:val="nil"/>
          <w:right w:val="nil"/>
          <w:between w:val="nil"/>
        </w:pBdr>
        <w:spacing w:after="200"/>
        <w:ind w:left="720" w:hanging="720"/>
        <w:jc w:val="both"/>
        <w:rPr>
          <w:rFonts w:ascii="Times New Roman" w:eastAsia="Times New Roman" w:hAnsi="Times New Roman" w:cs="Times New Roman"/>
          <w:color w:val="000000"/>
        </w:rPr>
      </w:pPr>
      <w:r w:rsidRPr="005603AE">
        <w:rPr>
          <w:rFonts w:ascii="Times New Roman" w:eastAsia="Times New Roman" w:hAnsi="Times New Roman" w:cs="Times New Roman"/>
          <w:color w:val="000000"/>
        </w:rPr>
        <w:lastRenderedPageBreak/>
        <w:t xml:space="preserve">Yuni, F. y Urbano, L. (2006).  </w:t>
      </w:r>
      <w:r w:rsidRPr="005603AE">
        <w:rPr>
          <w:rFonts w:ascii="Times New Roman" w:eastAsia="Times New Roman" w:hAnsi="Times New Roman" w:cs="Times New Roman"/>
          <w:i/>
          <w:color w:val="000000"/>
        </w:rPr>
        <w:t>Técnicas para investigar. Recursos Metodológicos para la Preparación de Proyectos de Investigación.</w:t>
      </w:r>
      <w:r w:rsidRPr="005603AE">
        <w:rPr>
          <w:rFonts w:ascii="Times New Roman" w:eastAsia="Times New Roman" w:hAnsi="Times New Roman" w:cs="Times New Roman"/>
          <w:color w:val="000000"/>
        </w:rPr>
        <w:t xml:space="preserve"> (2ª edición). Editorial Brujas. </w:t>
      </w:r>
    </w:p>
    <w:p w14:paraId="1C803BA3" w14:textId="77777777" w:rsidR="00F37B5D" w:rsidRPr="005603AE" w:rsidRDefault="00F37B5D" w:rsidP="00F37B5D">
      <w:pPr>
        <w:rPr>
          <w:rFonts w:ascii="Times New Roman" w:hAnsi="Times New Roman" w:cs="Times New Roman"/>
        </w:rPr>
      </w:pPr>
    </w:p>
    <w:p w14:paraId="63209033" w14:textId="77777777" w:rsidR="00657D48" w:rsidRDefault="00657D48">
      <w:pPr>
        <w:jc w:val="both"/>
        <w:rPr>
          <w:rFonts w:ascii="Times New Roman" w:eastAsia="Times New Roman" w:hAnsi="Times New Roman" w:cs="Times New Roman"/>
        </w:rPr>
      </w:pPr>
    </w:p>
    <w:p w14:paraId="7348D4F5" w14:textId="77777777" w:rsidR="00657D48" w:rsidRDefault="00657D48">
      <w:pPr>
        <w:jc w:val="both"/>
        <w:rPr>
          <w:rFonts w:ascii="Times New Roman" w:eastAsia="Times New Roman" w:hAnsi="Times New Roman" w:cs="Times New Roman"/>
        </w:rPr>
      </w:pPr>
    </w:p>
    <w:p w14:paraId="4C1EB270" w14:textId="77777777" w:rsidR="00657D48" w:rsidRDefault="00657D48"/>
    <w:p w14:paraId="50B06135" w14:textId="77777777" w:rsidR="00657D48" w:rsidRDefault="00657D48"/>
    <w:p w14:paraId="198E0506" w14:textId="77777777" w:rsidR="00657D48" w:rsidRDefault="00657D48"/>
    <w:p w14:paraId="786377B1" w14:textId="77777777" w:rsidR="00657D48" w:rsidRDefault="00657D48"/>
    <w:p w14:paraId="1AF3AA34" w14:textId="77777777" w:rsidR="00657D48" w:rsidRDefault="00657D48"/>
    <w:p w14:paraId="10D54BC2" w14:textId="77777777" w:rsidR="00657D48" w:rsidRDefault="00657D48"/>
    <w:p w14:paraId="61C81429" w14:textId="77777777" w:rsidR="00657D48" w:rsidRDefault="00657D48"/>
    <w:p w14:paraId="53BA5C0F" w14:textId="77777777" w:rsidR="00657D48" w:rsidRDefault="00657D48"/>
    <w:p w14:paraId="2F6A8C42" w14:textId="77777777" w:rsidR="00657D48" w:rsidRDefault="00657D48"/>
    <w:p w14:paraId="25938D87" w14:textId="77777777" w:rsidR="00657D48" w:rsidRDefault="00657D48"/>
    <w:p w14:paraId="28A94DCF" w14:textId="77777777" w:rsidR="00657D48" w:rsidRDefault="00657D48"/>
    <w:p w14:paraId="021AC8E8" w14:textId="77777777" w:rsidR="00657D48" w:rsidRDefault="00657D48"/>
    <w:p w14:paraId="589A236D" w14:textId="77777777" w:rsidR="00657D48" w:rsidRDefault="00657D48">
      <w:pPr>
        <w:pStyle w:val="Ttulo1"/>
      </w:pPr>
      <w:bookmarkStart w:id="209" w:name="_3abhhcj" w:colFirst="0" w:colLast="0"/>
      <w:bookmarkEnd w:id="209"/>
    </w:p>
    <w:p w14:paraId="2C4E00D1" w14:textId="77777777" w:rsidR="00657D48" w:rsidRDefault="00657D48">
      <w:pPr>
        <w:pStyle w:val="Ttulo1"/>
      </w:pPr>
    </w:p>
    <w:p w14:paraId="478211D7" w14:textId="77777777" w:rsidR="00657D48" w:rsidRDefault="00657D48">
      <w:pPr>
        <w:pStyle w:val="Ttulo1"/>
      </w:pPr>
    </w:p>
    <w:p w14:paraId="63F33C9F" w14:textId="77777777" w:rsidR="00657D48" w:rsidRDefault="00657D48">
      <w:pPr>
        <w:pStyle w:val="Ttulo1"/>
      </w:pPr>
    </w:p>
    <w:p w14:paraId="05697F99" w14:textId="77777777" w:rsidR="00657D48" w:rsidRDefault="00657D48">
      <w:pPr>
        <w:pStyle w:val="Ttulo1"/>
      </w:pPr>
    </w:p>
    <w:p w14:paraId="3B50D046" w14:textId="77777777" w:rsidR="00657D48" w:rsidRDefault="00657D48">
      <w:pPr>
        <w:pStyle w:val="Ttulo1"/>
      </w:pPr>
    </w:p>
    <w:p w14:paraId="2652D00B" w14:textId="77777777" w:rsidR="00657D48" w:rsidRDefault="00657D48">
      <w:pPr>
        <w:pStyle w:val="Ttulo1"/>
      </w:pPr>
    </w:p>
    <w:p w14:paraId="5203FBD4" w14:textId="77777777" w:rsidR="00657D48" w:rsidRDefault="00657D48">
      <w:pPr>
        <w:pStyle w:val="Ttulo1"/>
      </w:pPr>
    </w:p>
    <w:p w14:paraId="7DE0D8F1" w14:textId="77777777" w:rsidR="00657D48" w:rsidRDefault="00657D48">
      <w:pPr>
        <w:pStyle w:val="Ttulo1"/>
      </w:pPr>
    </w:p>
    <w:p w14:paraId="35EF8917" w14:textId="2A32D002" w:rsidR="00657D48" w:rsidRDefault="003F3EEB">
      <w:pPr>
        <w:pStyle w:val="Ttulo1"/>
        <w:sectPr w:rsidR="00657D48">
          <w:pgSz w:w="11906" w:h="16838"/>
          <w:pgMar w:top="1701" w:right="1701" w:bottom="1701" w:left="2268" w:header="709" w:footer="709" w:gutter="0"/>
          <w:cols w:space="720"/>
        </w:sectPr>
      </w:pPr>
      <w:bookmarkStart w:id="210" w:name="_Toc117518952"/>
      <w:r>
        <w:t>ANEXOS</w:t>
      </w:r>
      <w:bookmarkEnd w:id="210"/>
    </w:p>
    <w:p w14:paraId="416B14CB" w14:textId="4AEA8FFC" w:rsidR="00657D48" w:rsidRDefault="003F3EEB">
      <w:pPr>
        <w:pStyle w:val="Ttulo1"/>
      </w:pPr>
      <w:bookmarkStart w:id="211" w:name="_1pgrrkc" w:colFirst="0" w:colLast="0"/>
      <w:bookmarkStart w:id="212" w:name="_Toc117518953"/>
      <w:bookmarkEnd w:id="211"/>
      <w:r>
        <w:lastRenderedPageBreak/>
        <w:t>Anexo1: Matriz de consistencia</w:t>
      </w:r>
      <w:bookmarkEnd w:id="212"/>
    </w:p>
    <w:p w14:paraId="440976A1" w14:textId="77777777" w:rsidR="00657D48" w:rsidRDefault="003F3EEB">
      <w:pPr>
        <w:tabs>
          <w:tab w:val="left" w:pos="8222"/>
        </w:tabs>
        <w:spacing w:after="0"/>
        <w:jc w:val="both"/>
        <w:rPr>
          <w:rFonts w:ascii="Times New Roman" w:eastAsia="Times New Roman" w:hAnsi="Times New Roman" w:cs="Times New Roman"/>
          <w:sz w:val="16"/>
          <w:szCs w:val="16"/>
        </w:rPr>
      </w:pPr>
      <w:r>
        <w:rPr>
          <w:rFonts w:ascii="Times New Roman" w:eastAsia="Times New Roman" w:hAnsi="Times New Roman" w:cs="Times New Roman"/>
        </w:rPr>
        <w:t xml:space="preserve">Título: La Gestión del Riesgo de Desastres en los procesos de Reducción del Riesgo, Preparación y Respuesta y su competencia en el Sector Defensa año 2021. </w:t>
      </w:r>
    </w:p>
    <w:tbl>
      <w:tblPr>
        <w:tblStyle w:val="af4"/>
        <w:tblW w:w="13882" w:type="dxa"/>
        <w:tblInd w:w="0" w:type="dxa"/>
        <w:tblLayout w:type="fixed"/>
        <w:tblLook w:val="0400" w:firstRow="0" w:lastRow="0" w:firstColumn="0" w:lastColumn="0" w:noHBand="0" w:noVBand="1"/>
      </w:tblPr>
      <w:tblGrid>
        <w:gridCol w:w="2816"/>
        <w:gridCol w:w="2816"/>
        <w:gridCol w:w="2534"/>
        <w:gridCol w:w="1407"/>
        <w:gridCol w:w="1474"/>
        <w:gridCol w:w="2835"/>
      </w:tblGrid>
      <w:tr w:rsidR="00657D48" w14:paraId="02AFF22C" w14:textId="77777777">
        <w:trPr>
          <w:trHeight w:val="302"/>
        </w:trPr>
        <w:tc>
          <w:tcPr>
            <w:tcW w:w="2816" w:type="dxa"/>
            <w:tcBorders>
              <w:top w:val="single" w:sz="8" w:space="0" w:color="000000"/>
              <w:left w:val="single" w:sz="8" w:space="0" w:color="000000"/>
              <w:bottom w:val="single" w:sz="4" w:space="0" w:color="000000"/>
              <w:right w:val="single" w:sz="4" w:space="0" w:color="000000"/>
            </w:tcBorders>
            <w:shd w:val="clear" w:color="auto" w:fill="auto"/>
            <w:vAlign w:val="center"/>
          </w:tcPr>
          <w:p w14:paraId="3A18D1E2"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PROBLEMA</w:t>
            </w:r>
          </w:p>
        </w:tc>
        <w:tc>
          <w:tcPr>
            <w:tcW w:w="2816" w:type="dxa"/>
            <w:tcBorders>
              <w:top w:val="single" w:sz="8" w:space="0" w:color="000000"/>
              <w:left w:val="nil"/>
              <w:bottom w:val="single" w:sz="4" w:space="0" w:color="000000"/>
              <w:right w:val="single" w:sz="4" w:space="0" w:color="000000"/>
            </w:tcBorders>
            <w:shd w:val="clear" w:color="auto" w:fill="auto"/>
            <w:vAlign w:val="center"/>
          </w:tcPr>
          <w:p w14:paraId="6538AB4F"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OBJETIVO</w:t>
            </w:r>
          </w:p>
        </w:tc>
        <w:tc>
          <w:tcPr>
            <w:tcW w:w="2534" w:type="dxa"/>
            <w:tcBorders>
              <w:top w:val="single" w:sz="8" w:space="0" w:color="000000"/>
              <w:left w:val="nil"/>
              <w:bottom w:val="single" w:sz="4" w:space="0" w:color="000000"/>
              <w:right w:val="single" w:sz="4" w:space="0" w:color="000000"/>
            </w:tcBorders>
            <w:shd w:val="clear" w:color="auto" w:fill="auto"/>
            <w:vAlign w:val="center"/>
          </w:tcPr>
          <w:p w14:paraId="4A10D83B"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HIPÓTESIS</w:t>
            </w:r>
          </w:p>
        </w:tc>
        <w:tc>
          <w:tcPr>
            <w:tcW w:w="1407" w:type="dxa"/>
            <w:tcBorders>
              <w:top w:val="single" w:sz="8" w:space="0" w:color="000000"/>
              <w:left w:val="nil"/>
              <w:bottom w:val="single" w:sz="4" w:space="0" w:color="000000"/>
              <w:right w:val="single" w:sz="4" w:space="0" w:color="000000"/>
            </w:tcBorders>
            <w:shd w:val="clear" w:color="auto" w:fill="auto"/>
            <w:vAlign w:val="center"/>
          </w:tcPr>
          <w:p w14:paraId="034423CF"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VARIABLES</w:t>
            </w:r>
          </w:p>
        </w:tc>
        <w:tc>
          <w:tcPr>
            <w:tcW w:w="1474" w:type="dxa"/>
            <w:tcBorders>
              <w:top w:val="single" w:sz="8" w:space="0" w:color="000000"/>
              <w:left w:val="nil"/>
              <w:bottom w:val="nil"/>
              <w:right w:val="single" w:sz="8" w:space="0" w:color="000000"/>
            </w:tcBorders>
            <w:shd w:val="clear" w:color="auto" w:fill="auto"/>
            <w:vAlign w:val="center"/>
          </w:tcPr>
          <w:p w14:paraId="681E5D8A"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DIMENSIONES</w:t>
            </w:r>
          </w:p>
        </w:tc>
        <w:tc>
          <w:tcPr>
            <w:tcW w:w="2835" w:type="dxa"/>
            <w:tcBorders>
              <w:top w:val="single" w:sz="8" w:space="0" w:color="000000"/>
              <w:left w:val="nil"/>
              <w:bottom w:val="nil"/>
              <w:right w:val="single" w:sz="8" w:space="0" w:color="000000"/>
            </w:tcBorders>
            <w:vAlign w:val="center"/>
          </w:tcPr>
          <w:p w14:paraId="6FF770D1"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INDICADORES</w:t>
            </w:r>
          </w:p>
        </w:tc>
      </w:tr>
      <w:tr w:rsidR="00657D48" w14:paraId="31896F29" w14:textId="77777777">
        <w:trPr>
          <w:trHeight w:val="304"/>
        </w:trPr>
        <w:tc>
          <w:tcPr>
            <w:tcW w:w="2816" w:type="dxa"/>
            <w:tcBorders>
              <w:top w:val="nil"/>
              <w:left w:val="single" w:sz="8" w:space="0" w:color="000000"/>
              <w:bottom w:val="single" w:sz="4" w:space="0" w:color="000000"/>
              <w:right w:val="single" w:sz="4" w:space="0" w:color="000000"/>
            </w:tcBorders>
            <w:shd w:val="clear" w:color="auto" w:fill="auto"/>
            <w:vAlign w:val="center"/>
          </w:tcPr>
          <w:p w14:paraId="32EA395C"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PROBLEMA GENERAL</w:t>
            </w:r>
          </w:p>
        </w:tc>
        <w:tc>
          <w:tcPr>
            <w:tcW w:w="2816" w:type="dxa"/>
            <w:tcBorders>
              <w:top w:val="nil"/>
              <w:left w:val="nil"/>
              <w:bottom w:val="single" w:sz="4" w:space="0" w:color="000000"/>
              <w:right w:val="single" w:sz="4" w:space="0" w:color="000000"/>
            </w:tcBorders>
            <w:shd w:val="clear" w:color="auto" w:fill="auto"/>
            <w:vAlign w:val="center"/>
          </w:tcPr>
          <w:p w14:paraId="5EA73AD1"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OBJETIVO GENERAL</w:t>
            </w:r>
          </w:p>
        </w:tc>
        <w:tc>
          <w:tcPr>
            <w:tcW w:w="2534" w:type="dxa"/>
            <w:tcBorders>
              <w:top w:val="nil"/>
              <w:left w:val="nil"/>
              <w:bottom w:val="single" w:sz="4" w:space="0" w:color="000000"/>
              <w:right w:val="nil"/>
            </w:tcBorders>
            <w:shd w:val="clear" w:color="auto" w:fill="auto"/>
            <w:vAlign w:val="center"/>
          </w:tcPr>
          <w:p w14:paraId="50883DD7"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HIPÓTESIS GENERAL</w:t>
            </w:r>
          </w:p>
        </w:tc>
        <w:tc>
          <w:tcPr>
            <w:tcW w:w="1407" w:type="dxa"/>
            <w:tcBorders>
              <w:top w:val="nil"/>
              <w:left w:val="single" w:sz="4" w:space="0" w:color="000000"/>
              <w:bottom w:val="single" w:sz="4" w:space="0" w:color="000000"/>
              <w:right w:val="single" w:sz="4" w:space="0" w:color="000000"/>
            </w:tcBorders>
            <w:shd w:val="clear" w:color="auto" w:fill="auto"/>
            <w:vAlign w:val="center"/>
          </w:tcPr>
          <w:p w14:paraId="15B939C0" w14:textId="77777777" w:rsidR="00657D48" w:rsidRDefault="003F3EEB">
            <w:pPr>
              <w:tabs>
                <w:tab w:val="left" w:pos="8222"/>
              </w:tabs>
              <w:spacing w:after="0" w:line="240" w:lineRule="auto"/>
              <w:ind w:left="567" w:hanging="567"/>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VARIABLE 1</w:t>
            </w:r>
          </w:p>
        </w:tc>
        <w:tc>
          <w:tcPr>
            <w:tcW w:w="1474" w:type="dxa"/>
            <w:tcBorders>
              <w:top w:val="single" w:sz="4" w:space="0" w:color="000000"/>
              <w:left w:val="nil"/>
              <w:bottom w:val="single" w:sz="4" w:space="0" w:color="000000"/>
              <w:right w:val="single" w:sz="8" w:space="0" w:color="000000"/>
            </w:tcBorders>
            <w:shd w:val="clear" w:color="auto" w:fill="auto"/>
            <w:vAlign w:val="bottom"/>
          </w:tcPr>
          <w:p w14:paraId="7DE929A7" w14:textId="77777777" w:rsidR="00657D48" w:rsidRDefault="003F3EEB">
            <w:pPr>
              <w:tabs>
                <w:tab w:val="left" w:pos="8222"/>
              </w:tabs>
              <w:spacing w:after="0" w:line="240" w:lineRule="auto"/>
              <w:ind w:left="567" w:hanging="567"/>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w:t>
            </w:r>
          </w:p>
        </w:tc>
        <w:tc>
          <w:tcPr>
            <w:tcW w:w="2835" w:type="dxa"/>
            <w:tcBorders>
              <w:top w:val="single" w:sz="4" w:space="0" w:color="000000"/>
              <w:left w:val="nil"/>
              <w:bottom w:val="single" w:sz="4" w:space="0" w:color="000000"/>
              <w:right w:val="single" w:sz="8" w:space="0" w:color="000000"/>
            </w:tcBorders>
          </w:tcPr>
          <w:p w14:paraId="74EFE0A1" w14:textId="77777777" w:rsidR="00657D48" w:rsidRDefault="00657D48">
            <w:pPr>
              <w:tabs>
                <w:tab w:val="left" w:pos="8222"/>
              </w:tabs>
              <w:spacing w:after="0" w:line="240" w:lineRule="auto"/>
              <w:ind w:left="567" w:hanging="567"/>
              <w:jc w:val="both"/>
              <w:rPr>
                <w:rFonts w:ascii="Times New Roman" w:eastAsia="Times New Roman" w:hAnsi="Times New Roman" w:cs="Times New Roman"/>
                <w:sz w:val="16"/>
                <w:szCs w:val="16"/>
              </w:rPr>
            </w:pPr>
          </w:p>
        </w:tc>
      </w:tr>
      <w:tr w:rsidR="00657D48" w14:paraId="398976BA" w14:textId="77777777">
        <w:trPr>
          <w:trHeight w:val="722"/>
        </w:trPr>
        <w:tc>
          <w:tcPr>
            <w:tcW w:w="2816" w:type="dxa"/>
            <w:tcBorders>
              <w:top w:val="nil"/>
              <w:left w:val="single" w:sz="8" w:space="0" w:color="000000"/>
              <w:bottom w:val="single" w:sz="4" w:space="0" w:color="000000"/>
              <w:right w:val="single" w:sz="4" w:space="0" w:color="000000"/>
            </w:tcBorders>
            <w:shd w:val="clear" w:color="auto" w:fill="auto"/>
            <w:vAlign w:val="center"/>
          </w:tcPr>
          <w:p w14:paraId="007A3650" w14:textId="77777777" w:rsidR="00657D48" w:rsidRDefault="003F3EEB">
            <w:pPr>
              <w:tabs>
                <w:tab w:val="left" w:pos="8222"/>
              </w:tabs>
              <w:spacing w:after="0" w:line="240" w:lineRule="auto"/>
              <w:ind w:left="33" w:hanging="33"/>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¿De qué manera la Gestión del  Riesgo de Desastres </w:t>
            </w:r>
            <w:r>
              <w:t xml:space="preserve"> </w:t>
            </w:r>
            <w:r>
              <w:rPr>
                <w:rFonts w:ascii="Times New Roman" w:eastAsia="Times New Roman" w:hAnsi="Times New Roman" w:cs="Times New Roman"/>
                <w:sz w:val="16"/>
                <w:szCs w:val="16"/>
              </w:rPr>
              <w:t>en los procesos de Reducción del Riesgo, Preparación y Respuesta se relaciona con las competencias en el Sector Defensa año 2021?</w:t>
            </w:r>
          </w:p>
        </w:tc>
        <w:tc>
          <w:tcPr>
            <w:tcW w:w="2816" w:type="dxa"/>
            <w:tcBorders>
              <w:top w:val="nil"/>
              <w:left w:val="nil"/>
              <w:bottom w:val="single" w:sz="4" w:space="0" w:color="000000"/>
              <w:right w:val="single" w:sz="4" w:space="0" w:color="000000"/>
            </w:tcBorders>
            <w:shd w:val="clear" w:color="auto" w:fill="auto"/>
            <w:vAlign w:val="center"/>
          </w:tcPr>
          <w:p w14:paraId="6B825A4D"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sz w:val="16"/>
                <w:szCs w:val="16"/>
              </w:rPr>
              <w:t xml:space="preserve">Determinar si la Gestión del Riesgo de Desastres </w:t>
            </w:r>
            <w:r>
              <w:t xml:space="preserve"> </w:t>
            </w:r>
            <w:r>
              <w:rPr>
                <w:rFonts w:ascii="Times New Roman" w:eastAsia="Times New Roman" w:hAnsi="Times New Roman" w:cs="Times New Roman"/>
                <w:sz w:val="16"/>
                <w:szCs w:val="16"/>
              </w:rPr>
              <w:t>en los procesos de Reducción del Riesgo, Preparación y Respuesta se relaciona con las competencias en el Sector Defensa año 2021.</w:t>
            </w:r>
          </w:p>
        </w:tc>
        <w:tc>
          <w:tcPr>
            <w:tcW w:w="2534" w:type="dxa"/>
            <w:tcBorders>
              <w:top w:val="nil"/>
              <w:left w:val="nil"/>
              <w:bottom w:val="single" w:sz="4" w:space="0" w:color="000000"/>
              <w:right w:val="nil"/>
            </w:tcBorders>
            <w:shd w:val="clear" w:color="auto" w:fill="auto"/>
            <w:vAlign w:val="center"/>
          </w:tcPr>
          <w:p w14:paraId="02CF2181"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La Gestión del Riesgo de Desastres</w:t>
            </w:r>
            <w:r>
              <w:t xml:space="preserve"> </w:t>
            </w:r>
            <w:r>
              <w:rPr>
                <w:rFonts w:ascii="Times New Roman" w:eastAsia="Times New Roman" w:hAnsi="Times New Roman" w:cs="Times New Roman"/>
                <w:sz w:val="16"/>
                <w:szCs w:val="16"/>
              </w:rPr>
              <w:t>en los procesos de Reducción del Riesgo, Preparación y Respuesta  tiene relación significativa en las competencias en el Sector Defensa año 2021.</w:t>
            </w:r>
          </w:p>
        </w:tc>
        <w:tc>
          <w:tcPr>
            <w:tcW w:w="1407" w:type="dxa"/>
            <w:vMerge w:val="restart"/>
            <w:tcBorders>
              <w:top w:val="nil"/>
              <w:left w:val="single" w:sz="4" w:space="0" w:color="000000"/>
              <w:right w:val="single" w:sz="4" w:space="0" w:color="000000"/>
            </w:tcBorders>
            <w:shd w:val="clear" w:color="auto" w:fill="auto"/>
            <w:vAlign w:val="center"/>
          </w:tcPr>
          <w:p w14:paraId="5F4515AC" w14:textId="77777777" w:rsidR="00657D48" w:rsidRDefault="00657D48">
            <w:pPr>
              <w:tabs>
                <w:tab w:val="left" w:pos="8222"/>
              </w:tabs>
              <w:spacing w:after="0" w:line="240" w:lineRule="auto"/>
              <w:rPr>
                <w:rFonts w:ascii="Times New Roman" w:eastAsia="Times New Roman" w:hAnsi="Times New Roman" w:cs="Times New Roman"/>
                <w:b/>
                <w:sz w:val="16"/>
                <w:szCs w:val="16"/>
              </w:rPr>
            </w:pPr>
          </w:p>
          <w:p w14:paraId="785D5015" w14:textId="77777777" w:rsidR="00657D48" w:rsidRDefault="003F3EEB">
            <w:pPr>
              <w:tabs>
                <w:tab w:val="left" w:pos="8222"/>
              </w:tabs>
              <w:spacing w:after="0" w:line="240" w:lineRule="auto"/>
              <w:ind w:left="33" w:hanging="33"/>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Gestión del Riesgo de Desastres</w:t>
            </w:r>
          </w:p>
        </w:tc>
        <w:tc>
          <w:tcPr>
            <w:tcW w:w="1474" w:type="dxa"/>
            <w:tcBorders>
              <w:top w:val="nil"/>
              <w:left w:val="nil"/>
              <w:bottom w:val="single" w:sz="4" w:space="0" w:color="000000"/>
              <w:right w:val="single" w:sz="8" w:space="0" w:color="000000"/>
            </w:tcBorders>
            <w:shd w:val="clear" w:color="auto" w:fill="auto"/>
            <w:vAlign w:val="center"/>
          </w:tcPr>
          <w:p w14:paraId="2ED63C5A"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Proceso de Reducción del Riesgo</w:t>
            </w:r>
          </w:p>
        </w:tc>
        <w:tc>
          <w:tcPr>
            <w:tcW w:w="2835" w:type="dxa"/>
            <w:tcBorders>
              <w:top w:val="nil"/>
              <w:left w:val="nil"/>
              <w:bottom w:val="single" w:sz="4" w:space="0" w:color="000000"/>
              <w:right w:val="single" w:sz="8" w:space="0" w:color="000000"/>
            </w:tcBorders>
            <w:vAlign w:val="center"/>
          </w:tcPr>
          <w:p w14:paraId="6BD612F2"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 xml:space="preserve">Normatividad, lineamientos y herramientas </w:t>
            </w:r>
          </w:p>
          <w:p w14:paraId="0EA1CE58"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 xml:space="preserve">Diagnóstico y acciones implementadas </w:t>
            </w:r>
          </w:p>
          <w:p w14:paraId="7075C654"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Monitoreo y Seguimiento</w:t>
            </w:r>
          </w:p>
          <w:p w14:paraId="714685D7"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Herramientas implementadas</w:t>
            </w:r>
          </w:p>
        </w:tc>
      </w:tr>
      <w:tr w:rsidR="00657D48" w14:paraId="43E11825" w14:textId="77777777">
        <w:trPr>
          <w:trHeight w:val="476"/>
        </w:trPr>
        <w:tc>
          <w:tcPr>
            <w:tcW w:w="2816" w:type="dxa"/>
            <w:tcBorders>
              <w:top w:val="nil"/>
              <w:left w:val="single" w:sz="8" w:space="0" w:color="000000"/>
              <w:bottom w:val="single" w:sz="4" w:space="0" w:color="000000"/>
              <w:right w:val="single" w:sz="4" w:space="0" w:color="000000"/>
            </w:tcBorders>
            <w:shd w:val="clear" w:color="auto" w:fill="auto"/>
            <w:vAlign w:val="center"/>
          </w:tcPr>
          <w:p w14:paraId="699C8D84" w14:textId="77777777" w:rsidR="00657D48" w:rsidRDefault="003F3EEB">
            <w:pPr>
              <w:tabs>
                <w:tab w:val="left" w:pos="8222"/>
              </w:tabs>
              <w:spacing w:after="0" w:line="240" w:lineRule="auto"/>
              <w:ind w:left="567" w:hanging="567"/>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PROBLEMA ESPECIFICO 1</w:t>
            </w:r>
          </w:p>
        </w:tc>
        <w:tc>
          <w:tcPr>
            <w:tcW w:w="2816" w:type="dxa"/>
            <w:tcBorders>
              <w:top w:val="nil"/>
              <w:left w:val="nil"/>
              <w:bottom w:val="single" w:sz="4" w:space="0" w:color="000000"/>
              <w:right w:val="single" w:sz="4" w:space="0" w:color="000000"/>
            </w:tcBorders>
            <w:shd w:val="clear" w:color="auto" w:fill="auto"/>
            <w:vAlign w:val="center"/>
          </w:tcPr>
          <w:p w14:paraId="35EDF9E3"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OBJETIVO ESPECIFICO 1</w:t>
            </w:r>
          </w:p>
        </w:tc>
        <w:tc>
          <w:tcPr>
            <w:tcW w:w="2534" w:type="dxa"/>
            <w:tcBorders>
              <w:top w:val="nil"/>
              <w:left w:val="nil"/>
              <w:bottom w:val="single" w:sz="4" w:space="0" w:color="000000"/>
              <w:right w:val="single" w:sz="4" w:space="0" w:color="000000"/>
            </w:tcBorders>
            <w:shd w:val="clear" w:color="auto" w:fill="auto"/>
            <w:vAlign w:val="center"/>
          </w:tcPr>
          <w:p w14:paraId="059859C0"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HIPÓTESIS ESPECIFICA 1</w:t>
            </w:r>
          </w:p>
        </w:tc>
        <w:tc>
          <w:tcPr>
            <w:tcW w:w="1407" w:type="dxa"/>
            <w:vMerge/>
            <w:tcBorders>
              <w:top w:val="nil"/>
              <w:left w:val="single" w:sz="4" w:space="0" w:color="000000"/>
              <w:right w:val="single" w:sz="4" w:space="0" w:color="000000"/>
            </w:tcBorders>
            <w:shd w:val="clear" w:color="auto" w:fill="auto"/>
            <w:vAlign w:val="center"/>
          </w:tcPr>
          <w:p w14:paraId="40B7DDE3"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b/>
                <w:sz w:val="16"/>
                <w:szCs w:val="16"/>
              </w:rPr>
            </w:pPr>
          </w:p>
        </w:tc>
        <w:tc>
          <w:tcPr>
            <w:tcW w:w="1474" w:type="dxa"/>
            <w:tcBorders>
              <w:top w:val="nil"/>
              <w:left w:val="nil"/>
              <w:bottom w:val="single" w:sz="4" w:space="0" w:color="000000"/>
              <w:right w:val="single" w:sz="8" w:space="0" w:color="000000"/>
            </w:tcBorders>
            <w:shd w:val="clear" w:color="auto" w:fill="auto"/>
            <w:vAlign w:val="center"/>
          </w:tcPr>
          <w:p w14:paraId="68C81DB6"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Proceso de Preparación</w:t>
            </w:r>
          </w:p>
        </w:tc>
        <w:tc>
          <w:tcPr>
            <w:tcW w:w="2835" w:type="dxa"/>
            <w:tcBorders>
              <w:top w:val="nil"/>
              <w:left w:val="nil"/>
              <w:bottom w:val="single" w:sz="4" w:space="0" w:color="000000"/>
              <w:right w:val="single" w:sz="8" w:space="0" w:color="000000"/>
            </w:tcBorders>
            <w:vAlign w:val="center"/>
          </w:tcPr>
          <w:p w14:paraId="6028BD8F"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Planeamiento.</w:t>
            </w:r>
          </w:p>
          <w:p w14:paraId="15FD0D1D"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Desarrollo de capacidades para la respuesta.</w:t>
            </w:r>
          </w:p>
          <w:p w14:paraId="27ECD62C"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Gestión de recursos para la respuesta</w:t>
            </w:r>
          </w:p>
        </w:tc>
      </w:tr>
      <w:tr w:rsidR="00657D48" w14:paraId="2B78908D" w14:textId="77777777">
        <w:trPr>
          <w:trHeight w:val="649"/>
        </w:trPr>
        <w:tc>
          <w:tcPr>
            <w:tcW w:w="2816" w:type="dxa"/>
            <w:tcBorders>
              <w:top w:val="nil"/>
              <w:left w:val="single" w:sz="8" w:space="0" w:color="000000"/>
              <w:bottom w:val="single" w:sz="4" w:space="0" w:color="000000"/>
              <w:right w:val="single" w:sz="4" w:space="0" w:color="000000"/>
            </w:tcBorders>
            <w:shd w:val="clear" w:color="auto" w:fill="auto"/>
            <w:vAlign w:val="center"/>
          </w:tcPr>
          <w:p w14:paraId="2D682C31" w14:textId="77777777" w:rsidR="00657D48" w:rsidRDefault="003F3EEB">
            <w:pPr>
              <w:tabs>
                <w:tab w:val="left" w:pos="8222"/>
              </w:tabs>
              <w:spacing w:after="0" w:line="240" w:lineRule="auto"/>
              <w:ind w:left="33" w:hanging="33"/>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¿Cómo el proceso de reducción del riesgo se relaciona con las medidas de socialización en el Sector Defensa año 2021?</w:t>
            </w:r>
          </w:p>
        </w:tc>
        <w:tc>
          <w:tcPr>
            <w:tcW w:w="2816" w:type="dxa"/>
            <w:tcBorders>
              <w:top w:val="nil"/>
              <w:left w:val="nil"/>
              <w:bottom w:val="single" w:sz="4" w:space="0" w:color="000000"/>
              <w:right w:val="single" w:sz="4" w:space="0" w:color="000000"/>
            </w:tcBorders>
            <w:shd w:val="clear" w:color="auto" w:fill="auto"/>
            <w:vAlign w:val="center"/>
          </w:tcPr>
          <w:p w14:paraId="10742B18"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Comprobar si el proceso de reducción del riesgo se relaciona con las medidas de socialización en el Sector Defensa año 2021.</w:t>
            </w:r>
          </w:p>
        </w:tc>
        <w:tc>
          <w:tcPr>
            <w:tcW w:w="2534" w:type="dxa"/>
            <w:tcBorders>
              <w:top w:val="nil"/>
              <w:left w:val="nil"/>
              <w:bottom w:val="single" w:sz="4" w:space="0" w:color="000000"/>
              <w:right w:val="single" w:sz="4" w:space="0" w:color="000000"/>
            </w:tcBorders>
            <w:shd w:val="clear" w:color="auto" w:fill="auto"/>
            <w:vAlign w:val="center"/>
          </w:tcPr>
          <w:p w14:paraId="53A602A5"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El proceso de reducción del riesgo tiene relación significativa en las medidas de socialización en el Sector Defensa año 2021.</w:t>
            </w:r>
          </w:p>
        </w:tc>
        <w:tc>
          <w:tcPr>
            <w:tcW w:w="1407" w:type="dxa"/>
            <w:vMerge/>
            <w:tcBorders>
              <w:top w:val="nil"/>
              <w:left w:val="single" w:sz="4" w:space="0" w:color="000000"/>
              <w:right w:val="single" w:sz="4" w:space="0" w:color="000000"/>
            </w:tcBorders>
            <w:shd w:val="clear" w:color="auto" w:fill="auto"/>
            <w:vAlign w:val="center"/>
          </w:tcPr>
          <w:p w14:paraId="22C0665C"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1474" w:type="dxa"/>
            <w:tcBorders>
              <w:top w:val="nil"/>
              <w:left w:val="single" w:sz="4" w:space="0" w:color="000000"/>
              <w:bottom w:val="nil"/>
              <w:right w:val="single" w:sz="8" w:space="0" w:color="000000"/>
            </w:tcBorders>
            <w:shd w:val="clear" w:color="auto" w:fill="auto"/>
            <w:vAlign w:val="center"/>
          </w:tcPr>
          <w:p w14:paraId="4A2398E9"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Proceso de Respuesta</w:t>
            </w:r>
          </w:p>
        </w:tc>
        <w:tc>
          <w:tcPr>
            <w:tcW w:w="2835" w:type="dxa"/>
            <w:tcBorders>
              <w:top w:val="nil"/>
              <w:left w:val="single" w:sz="4" w:space="0" w:color="000000"/>
              <w:bottom w:val="nil"/>
              <w:right w:val="single" w:sz="8" w:space="0" w:color="000000"/>
            </w:tcBorders>
            <w:vAlign w:val="center"/>
          </w:tcPr>
          <w:p w14:paraId="52ADF30B"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Conducción y coordinación de la atención de la emergencia o desastre.</w:t>
            </w:r>
          </w:p>
          <w:p w14:paraId="7651C303"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Búsqueda y salvamento.</w:t>
            </w:r>
          </w:p>
          <w:p w14:paraId="39B33803"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Logística en la respuesta</w:t>
            </w:r>
          </w:p>
        </w:tc>
      </w:tr>
      <w:tr w:rsidR="00657D48" w14:paraId="7A1382D8" w14:textId="77777777">
        <w:trPr>
          <w:trHeight w:val="315"/>
        </w:trPr>
        <w:tc>
          <w:tcPr>
            <w:tcW w:w="2816" w:type="dxa"/>
            <w:tcBorders>
              <w:top w:val="nil"/>
              <w:left w:val="single" w:sz="8" w:space="0" w:color="000000"/>
              <w:bottom w:val="single" w:sz="4" w:space="0" w:color="000000"/>
              <w:right w:val="single" w:sz="4" w:space="0" w:color="000000"/>
            </w:tcBorders>
            <w:shd w:val="clear" w:color="auto" w:fill="auto"/>
            <w:vAlign w:val="center"/>
          </w:tcPr>
          <w:p w14:paraId="4B4E334F" w14:textId="77777777" w:rsidR="00657D48" w:rsidRDefault="003F3EEB">
            <w:pPr>
              <w:tabs>
                <w:tab w:val="left" w:pos="8222"/>
              </w:tabs>
              <w:spacing w:after="0" w:line="240" w:lineRule="auto"/>
              <w:ind w:left="567" w:hanging="567"/>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PROBLEMA ESPECIFICO 2</w:t>
            </w:r>
          </w:p>
        </w:tc>
        <w:tc>
          <w:tcPr>
            <w:tcW w:w="2816" w:type="dxa"/>
            <w:tcBorders>
              <w:top w:val="nil"/>
              <w:left w:val="nil"/>
              <w:bottom w:val="single" w:sz="4" w:space="0" w:color="000000"/>
              <w:right w:val="single" w:sz="4" w:space="0" w:color="000000"/>
            </w:tcBorders>
            <w:shd w:val="clear" w:color="auto" w:fill="auto"/>
            <w:vAlign w:val="center"/>
          </w:tcPr>
          <w:p w14:paraId="12133F7C"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OBJETIVO ESPECIFICO 2</w:t>
            </w:r>
          </w:p>
        </w:tc>
        <w:tc>
          <w:tcPr>
            <w:tcW w:w="2534" w:type="dxa"/>
            <w:tcBorders>
              <w:top w:val="nil"/>
              <w:left w:val="nil"/>
              <w:bottom w:val="single" w:sz="4" w:space="0" w:color="000000"/>
              <w:right w:val="single" w:sz="4" w:space="0" w:color="000000"/>
            </w:tcBorders>
            <w:shd w:val="clear" w:color="auto" w:fill="auto"/>
            <w:vAlign w:val="center"/>
          </w:tcPr>
          <w:p w14:paraId="07772D1A"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HIPÓTESIS ESPECIFICA 2</w:t>
            </w:r>
          </w:p>
        </w:tc>
        <w:tc>
          <w:tcPr>
            <w:tcW w:w="1407" w:type="dxa"/>
            <w:tcBorders>
              <w:top w:val="single" w:sz="4" w:space="0" w:color="000000"/>
              <w:left w:val="nil"/>
              <w:bottom w:val="single" w:sz="4" w:space="0" w:color="000000"/>
              <w:right w:val="single" w:sz="4" w:space="0" w:color="000000"/>
            </w:tcBorders>
            <w:shd w:val="clear" w:color="auto" w:fill="auto"/>
            <w:vAlign w:val="center"/>
          </w:tcPr>
          <w:p w14:paraId="0209E2A4" w14:textId="77777777" w:rsidR="00657D48" w:rsidRDefault="003F3EEB">
            <w:pPr>
              <w:tabs>
                <w:tab w:val="left" w:pos="8222"/>
              </w:tabs>
              <w:spacing w:after="0" w:line="240" w:lineRule="auto"/>
              <w:ind w:left="567" w:hanging="567"/>
              <w:rPr>
                <w:rFonts w:ascii="Times New Roman" w:eastAsia="Times New Roman" w:hAnsi="Times New Roman" w:cs="Times New Roman"/>
                <w:b/>
                <w:sz w:val="16"/>
                <w:szCs w:val="16"/>
              </w:rPr>
            </w:pPr>
            <w:r>
              <w:rPr>
                <w:rFonts w:ascii="Times New Roman" w:eastAsia="Times New Roman" w:hAnsi="Times New Roman" w:cs="Times New Roman"/>
                <w:b/>
                <w:sz w:val="16"/>
                <w:szCs w:val="16"/>
              </w:rPr>
              <w:t>VARIABLE 2</w:t>
            </w:r>
          </w:p>
        </w:tc>
        <w:tc>
          <w:tcPr>
            <w:tcW w:w="1474" w:type="dxa"/>
            <w:tcBorders>
              <w:top w:val="single" w:sz="4" w:space="0" w:color="000000"/>
              <w:left w:val="nil"/>
              <w:bottom w:val="single" w:sz="4" w:space="0" w:color="000000"/>
              <w:right w:val="single" w:sz="8" w:space="0" w:color="000000"/>
            </w:tcBorders>
            <w:shd w:val="clear" w:color="auto" w:fill="auto"/>
            <w:vAlign w:val="center"/>
          </w:tcPr>
          <w:p w14:paraId="504856CA" w14:textId="77777777" w:rsidR="00657D48" w:rsidRDefault="00657D48">
            <w:pPr>
              <w:tabs>
                <w:tab w:val="left" w:pos="8222"/>
              </w:tabs>
              <w:spacing w:after="0" w:line="240" w:lineRule="auto"/>
              <w:ind w:left="567" w:hanging="567"/>
              <w:jc w:val="center"/>
              <w:rPr>
                <w:rFonts w:ascii="Times New Roman" w:eastAsia="Times New Roman" w:hAnsi="Times New Roman" w:cs="Times New Roman"/>
                <w:sz w:val="16"/>
                <w:szCs w:val="16"/>
              </w:rPr>
            </w:pPr>
          </w:p>
        </w:tc>
        <w:tc>
          <w:tcPr>
            <w:tcW w:w="2835" w:type="dxa"/>
            <w:tcBorders>
              <w:top w:val="single" w:sz="4" w:space="0" w:color="000000"/>
              <w:left w:val="nil"/>
              <w:bottom w:val="single" w:sz="4" w:space="0" w:color="000000"/>
              <w:right w:val="single" w:sz="8" w:space="0" w:color="000000"/>
            </w:tcBorders>
            <w:vAlign w:val="center"/>
          </w:tcPr>
          <w:p w14:paraId="0236597B" w14:textId="77777777" w:rsidR="00657D48" w:rsidRDefault="00657D48">
            <w:pPr>
              <w:tabs>
                <w:tab w:val="left" w:pos="8222"/>
              </w:tabs>
              <w:spacing w:after="0" w:line="240" w:lineRule="auto"/>
              <w:ind w:left="567" w:hanging="567"/>
              <w:rPr>
                <w:rFonts w:ascii="Times New Roman" w:eastAsia="Times New Roman" w:hAnsi="Times New Roman" w:cs="Times New Roman"/>
                <w:sz w:val="16"/>
                <w:szCs w:val="16"/>
              </w:rPr>
            </w:pPr>
          </w:p>
        </w:tc>
      </w:tr>
      <w:tr w:rsidR="00657D48" w14:paraId="2B21CC7E" w14:textId="77777777">
        <w:trPr>
          <w:trHeight w:val="642"/>
        </w:trPr>
        <w:tc>
          <w:tcPr>
            <w:tcW w:w="2816" w:type="dxa"/>
            <w:tcBorders>
              <w:top w:val="nil"/>
              <w:left w:val="single" w:sz="8" w:space="0" w:color="000000"/>
              <w:bottom w:val="single" w:sz="4" w:space="0" w:color="000000"/>
              <w:right w:val="single" w:sz="4" w:space="0" w:color="000000"/>
            </w:tcBorders>
            <w:shd w:val="clear" w:color="auto" w:fill="auto"/>
            <w:vAlign w:val="center"/>
          </w:tcPr>
          <w:p w14:paraId="598F9D65" w14:textId="77777777" w:rsidR="00657D48" w:rsidRDefault="003F3EEB">
            <w:pPr>
              <w:tabs>
                <w:tab w:val="left" w:pos="8222"/>
              </w:tabs>
              <w:spacing w:after="0" w:line="240" w:lineRule="auto"/>
              <w:ind w:left="33" w:hanging="33"/>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¿Cómo el proceso de preparación se relaciona con  las medidas de sensibilización en el Sector Defensa año 2021?</w:t>
            </w:r>
          </w:p>
        </w:tc>
        <w:tc>
          <w:tcPr>
            <w:tcW w:w="2816" w:type="dxa"/>
            <w:tcBorders>
              <w:top w:val="nil"/>
              <w:left w:val="nil"/>
              <w:bottom w:val="single" w:sz="4" w:space="0" w:color="000000"/>
              <w:right w:val="single" w:sz="4" w:space="0" w:color="000000"/>
            </w:tcBorders>
            <w:shd w:val="clear" w:color="auto" w:fill="auto"/>
            <w:vAlign w:val="center"/>
          </w:tcPr>
          <w:p w14:paraId="7595FF15"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Demostrar si el proceso de preparación se relaciona con las medidas de sensibilización en el Sector Defensa año 2021.</w:t>
            </w:r>
          </w:p>
        </w:tc>
        <w:tc>
          <w:tcPr>
            <w:tcW w:w="2534" w:type="dxa"/>
            <w:tcBorders>
              <w:top w:val="nil"/>
              <w:left w:val="nil"/>
              <w:bottom w:val="single" w:sz="4" w:space="0" w:color="000000"/>
              <w:right w:val="nil"/>
            </w:tcBorders>
            <w:shd w:val="clear" w:color="auto" w:fill="auto"/>
            <w:vAlign w:val="center"/>
          </w:tcPr>
          <w:p w14:paraId="1667CF34"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El proceso de preparación tiene relación significativa en las medidas de sensibilización en el Sector Defensa año 2021.</w:t>
            </w:r>
          </w:p>
        </w:tc>
        <w:tc>
          <w:tcPr>
            <w:tcW w:w="1407" w:type="dxa"/>
            <w:vMerge w:val="restart"/>
            <w:tcBorders>
              <w:top w:val="nil"/>
              <w:left w:val="single" w:sz="4" w:space="0" w:color="000000"/>
              <w:right w:val="single" w:sz="4" w:space="0" w:color="000000"/>
            </w:tcBorders>
            <w:shd w:val="clear" w:color="auto" w:fill="auto"/>
            <w:vAlign w:val="center"/>
          </w:tcPr>
          <w:p w14:paraId="2784BA0F" w14:textId="77777777" w:rsidR="00657D48" w:rsidRDefault="00657D48">
            <w:pPr>
              <w:tabs>
                <w:tab w:val="left" w:pos="8222"/>
              </w:tabs>
              <w:spacing w:after="0" w:line="240" w:lineRule="auto"/>
              <w:ind w:left="33" w:hanging="33"/>
              <w:jc w:val="both"/>
              <w:rPr>
                <w:rFonts w:ascii="Times New Roman" w:eastAsia="Times New Roman" w:hAnsi="Times New Roman" w:cs="Times New Roman"/>
                <w:b/>
                <w:sz w:val="16"/>
                <w:szCs w:val="16"/>
              </w:rPr>
            </w:pPr>
          </w:p>
          <w:p w14:paraId="29E2A5D2" w14:textId="77777777" w:rsidR="00657D48" w:rsidRDefault="003F3EEB">
            <w:pPr>
              <w:tabs>
                <w:tab w:val="left" w:pos="8222"/>
              </w:tabs>
              <w:spacing w:after="0" w:line="240" w:lineRule="auto"/>
              <w:ind w:left="33" w:hanging="33"/>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Competencia en el Sector Defensa</w:t>
            </w:r>
          </w:p>
          <w:p w14:paraId="770030FE" w14:textId="77777777" w:rsidR="00657D48" w:rsidRDefault="00657D48">
            <w:pPr>
              <w:tabs>
                <w:tab w:val="left" w:pos="8222"/>
              </w:tabs>
              <w:spacing w:after="0" w:line="240" w:lineRule="auto"/>
              <w:ind w:left="33" w:hanging="33"/>
              <w:jc w:val="both"/>
              <w:rPr>
                <w:rFonts w:ascii="Times New Roman" w:eastAsia="Times New Roman" w:hAnsi="Times New Roman" w:cs="Times New Roman"/>
                <w:b/>
                <w:sz w:val="16"/>
                <w:szCs w:val="16"/>
              </w:rPr>
            </w:pPr>
          </w:p>
        </w:tc>
        <w:tc>
          <w:tcPr>
            <w:tcW w:w="1474" w:type="dxa"/>
            <w:tcBorders>
              <w:top w:val="nil"/>
              <w:left w:val="nil"/>
              <w:bottom w:val="single" w:sz="4" w:space="0" w:color="000000"/>
              <w:right w:val="single" w:sz="8" w:space="0" w:color="000000"/>
            </w:tcBorders>
            <w:shd w:val="clear" w:color="auto" w:fill="auto"/>
            <w:vAlign w:val="center"/>
          </w:tcPr>
          <w:p w14:paraId="5D6479F5"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Socialización</w:t>
            </w:r>
          </w:p>
        </w:tc>
        <w:tc>
          <w:tcPr>
            <w:tcW w:w="2835" w:type="dxa"/>
            <w:tcBorders>
              <w:top w:val="nil"/>
              <w:left w:val="nil"/>
              <w:bottom w:val="single" w:sz="4" w:space="0" w:color="000000"/>
              <w:right w:val="single" w:sz="8" w:space="0" w:color="000000"/>
            </w:tcBorders>
            <w:vAlign w:val="center"/>
          </w:tcPr>
          <w:p w14:paraId="72A7853E"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 xml:space="preserve">Difusión de los documentos normativos, herramientas e instrumentos del SINAGERD </w:t>
            </w:r>
          </w:p>
          <w:p w14:paraId="1FAF822D"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Difusión de los documentos normativos del Sector</w:t>
            </w:r>
          </w:p>
        </w:tc>
      </w:tr>
      <w:tr w:rsidR="00657D48" w14:paraId="3EC43BFA" w14:textId="77777777">
        <w:trPr>
          <w:trHeight w:val="423"/>
        </w:trPr>
        <w:tc>
          <w:tcPr>
            <w:tcW w:w="2816" w:type="dxa"/>
            <w:tcBorders>
              <w:top w:val="nil"/>
              <w:left w:val="single" w:sz="8" w:space="0" w:color="000000"/>
              <w:bottom w:val="single" w:sz="4" w:space="0" w:color="000000"/>
              <w:right w:val="single" w:sz="4" w:space="0" w:color="000000"/>
            </w:tcBorders>
            <w:shd w:val="clear" w:color="auto" w:fill="auto"/>
            <w:vAlign w:val="center"/>
          </w:tcPr>
          <w:p w14:paraId="4AAED6F0" w14:textId="77777777" w:rsidR="00657D48" w:rsidRDefault="003F3EEB">
            <w:pPr>
              <w:tabs>
                <w:tab w:val="left" w:pos="8222"/>
              </w:tabs>
              <w:spacing w:after="0" w:line="240" w:lineRule="auto"/>
              <w:ind w:left="567" w:hanging="567"/>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PROBLEMA ESPECIFICO 3</w:t>
            </w:r>
          </w:p>
        </w:tc>
        <w:tc>
          <w:tcPr>
            <w:tcW w:w="2816" w:type="dxa"/>
            <w:tcBorders>
              <w:top w:val="nil"/>
              <w:left w:val="nil"/>
              <w:bottom w:val="single" w:sz="4" w:space="0" w:color="000000"/>
              <w:right w:val="single" w:sz="4" w:space="0" w:color="000000"/>
            </w:tcBorders>
            <w:shd w:val="clear" w:color="auto" w:fill="auto"/>
            <w:vAlign w:val="center"/>
          </w:tcPr>
          <w:p w14:paraId="307894DF"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OBJETIVO ESPECIFICO 3</w:t>
            </w:r>
          </w:p>
        </w:tc>
        <w:tc>
          <w:tcPr>
            <w:tcW w:w="2534" w:type="dxa"/>
            <w:tcBorders>
              <w:top w:val="nil"/>
              <w:left w:val="nil"/>
              <w:bottom w:val="single" w:sz="4" w:space="0" w:color="000000"/>
              <w:right w:val="nil"/>
            </w:tcBorders>
            <w:shd w:val="clear" w:color="auto" w:fill="auto"/>
            <w:vAlign w:val="center"/>
          </w:tcPr>
          <w:p w14:paraId="1CF40721" w14:textId="77777777" w:rsidR="00657D48" w:rsidRDefault="003F3EEB">
            <w:pPr>
              <w:tabs>
                <w:tab w:val="left" w:pos="8222"/>
              </w:tabs>
              <w:spacing w:after="0" w:line="240" w:lineRule="auto"/>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HIPÓTESIS ESPECIFICA 3</w:t>
            </w:r>
          </w:p>
        </w:tc>
        <w:tc>
          <w:tcPr>
            <w:tcW w:w="1407" w:type="dxa"/>
            <w:vMerge/>
            <w:tcBorders>
              <w:top w:val="nil"/>
              <w:left w:val="single" w:sz="4" w:space="0" w:color="000000"/>
              <w:right w:val="single" w:sz="4" w:space="0" w:color="000000"/>
            </w:tcBorders>
            <w:shd w:val="clear" w:color="auto" w:fill="auto"/>
            <w:vAlign w:val="center"/>
          </w:tcPr>
          <w:p w14:paraId="58C247D7"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b/>
                <w:sz w:val="16"/>
                <w:szCs w:val="16"/>
              </w:rPr>
            </w:pPr>
          </w:p>
        </w:tc>
        <w:tc>
          <w:tcPr>
            <w:tcW w:w="1474" w:type="dxa"/>
            <w:tcBorders>
              <w:top w:val="nil"/>
              <w:left w:val="nil"/>
              <w:bottom w:val="single" w:sz="4" w:space="0" w:color="000000"/>
              <w:right w:val="single" w:sz="8" w:space="0" w:color="000000"/>
            </w:tcBorders>
            <w:shd w:val="clear" w:color="auto" w:fill="auto"/>
            <w:vAlign w:val="center"/>
          </w:tcPr>
          <w:p w14:paraId="304AEE8E"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Sensibilización</w:t>
            </w:r>
          </w:p>
        </w:tc>
        <w:tc>
          <w:tcPr>
            <w:tcW w:w="2835" w:type="dxa"/>
            <w:tcBorders>
              <w:top w:val="nil"/>
              <w:left w:val="nil"/>
              <w:bottom w:val="single" w:sz="4" w:space="0" w:color="000000"/>
              <w:right w:val="single" w:sz="8" w:space="0" w:color="000000"/>
            </w:tcBorders>
            <w:vAlign w:val="center"/>
          </w:tcPr>
          <w:p w14:paraId="45AE8332"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GRD como un tema transversal.</w:t>
            </w:r>
          </w:p>
          <w:p w14:paraId="52EBE530"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Romper el esquema militar en la GRD</w:t>
            </w:r>
          </w:p>
        </w:tc>
      </w:tr>
      <w:tr w:rsidR="00657D48" w14:paraId="51DE2355" w14:textId="77777777">
        <w:trPr>
          <w:trHeight w:val="663"/>
        </w:trPr>
        <w:tc>
          <w:tcPr>
            <w:tcW w:w="2816" w:type="dxa"/>
            <w:tcBorders>
              <w:top w:val="nil"/>
              <w:left w:val="single" w:sz="8" w:space="0" w:color="000000"/>
              <w:bottom w:val="single" w:sz="8" w:space="0" w:color="000000"/>
              <w:right w:val="single" w:sz="4" w:space="0" w:color="000000"/>
            </w:tcBorders>
            <w:shd w:val="clear" w:color="auto" w:fill="auto"/>
            <w:vAlign w:val="center"/>
          </w:tcPr>
          <w:p w14:paraId="093DC1FC" w14:textId="77777777" w:rsidR="00657D48" w:rsidRDefault="003F3EEB">
            <w:pPr>
              <w:tabs>
                <w:tab w:val="left" w:pos="8222"/>
              </w:tabs>
              <w:spacing w:after="0" w:line="240" w:lineRule="auto"/>
              <w:ind w:left="33" w:hanging="33"/>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¿Cómo el proceso de respuesta se relaciona con las medidas de implementación en el Sector Defensa año 2021?</w:t>
            </w:r>
          </w:p>
          <w:p w14:paraId="2147A40F" w14:textId="77777777" w:rsidR="00657D48" w:rsidRDefault="00657D48">
            <w:pPr>
              <w:tabs>
                <w:tab w:val="left" w:pos="8222"/>
              </w:tabs>
              <w:spacing w:after="0" w:line="240" w:lineRule="auto"/>
              <w:ind w:left="33" w:hanging="33"/>
              <w:jc w:val="both"/>
              <w:rPr>
                <w:rFonts w:ascii="Times New Roman" w:eastAsia="Times New Roman" w:hAnsi="Times New Roman" w:cs="Times New Roman"/>
                <w:sz w:val="16"/>
                <w:szCs w:val="16"/>
              </w:rPr>
            </w:pPr>
          </w:p>
        </w:tc>
        <w:tc>
          <w:tcPr>
            <w:tcW w:w="2816" w:type="dxa"/>
            <w:tcBorders>
              <w:top w:val="nil"/>
              <w:left w:val="nil"/>
              <w:bottom w:val="single" w:sz="8" w:space="0" w:color="000000"/>
              <w:right w:val="single" w:sz="4" w:space="0" w:color="000000"/>
            </w:tcBorders>
            <w:shd w:val="clear" w:color="auto" w:fill="auto"/>
            <w:vAlign w:val="center"/>
          </w:tcPr>
          <w:p w14:paraId="546DA02D"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Establecer si el proceso de respuesta se relaciona con las medidas de implementación en el Sector Defensa año 2021.</w:t>
            </w:r>
          </w:p>
        </w:tc>
        <w:tc>
          <w:tcPr>
            <w:tcW w:w="2534" w:type="dxa"/>
            <w:tcBorders>
              <w:top w:val="nil"/>
              <w:left w:val="nil"/>
              <w:bottom w:val="single" w:sz="8" w:space="0" w:color="000000"/>
              <w:right w:val="single" w:sz="4" w:space="0" w:color="000000"/>
            </w:tcBorders>
            <w:shd w:val="clear" w:color="auto" w:fill="auto"/>
            <w:vAlign w:val="center"/>
          </w:tcPr>
          <w:p w14:paraId="0CA6B831" w14:textId="77777777" w:rsidR="00657D48" w:rsidRDefault="003F3EEB">
            <w:pPr>
              <w:tabs>
                <w:tab w:val="left" w:pos="8222"/>
              </w:tabs>
              <w:spacing w:after="0" w:line="240" w:lineRule="auto"/>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El proceso de respuesta tiene relación significativa en las medidas de implementación en el Sector Defensa año 2021.</w:t>
            </w:r>
          </w:p>
        </w:tc>
        <w:tc>
          <w:tcPr>
            <w:tcW w:w="1407" w:type="dxa"/>
            <w:vMerge/>
            <w:tcBorders>
              <w:top w:val="nil"/>
              <w:left w:val="single" w:sz="4" w:space="0" w:color="000000"/>
              <w:right w:val="single" w:sz="4" w:space="0" w:color="000000"/>
            </w:tcBorders>
            <w:shd w:val="clear" w:color="auto" w:fill="auto"/>
            <w:vAlign w:val="center"/>
          </w:tcPr>
          <w:p w14:paraId="72F4DB1B" w14:textId="77777777" w:rsidR="00657D48" w:rsidRDefault="00657D48">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1474" w:type="dxa"/>
            <w:tcBorders>
              <w:top w:val="nil"/>
              <w:left w:val="single" w:sz="4" w:space="0" w:color="000000"/>
              <w:bottom w:val="single" w:sz="8" w:space="0" w:color="000000"/>
              <w:right w:val="single" w:sz="8" w:space="0" w:color="000000"/>
            </w:tcBorders>
            <w:shd w:val="clear" w:color="auto" w:fill="auto"/>
            <w:vAlign w:val="center"/>
          </w:tcPr>
          <w:p w14:paraId="36869A90" w14:textId="77777777" w:rsidR="00657D48" w:rsidRDefault="003F3EEB">
            <w:pPr>
              <w:tabs>
                <w:tab w:val="left" w:pos="8222"/>
              </w:tabs>
              <w:spacing w:after="0" w:line="240" w:lineRule="auto"/>
              <w:ind w:left="33" w:hanging="33"/>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Implementación</w:t>
            </w:r>
          </w:p>
        </w:tc>
        <w:tc>
          <w:tcPr>
            <w:tcW w:w="2835" w:type="dxa"/>
            <w:tcBorders>
              <w:top w:val="nil"/>
              <w:left w:val="single" w:sz="4" w:space="0" w:color="000000"/>
              <w:bottom w:val="single" w:sz="8" w:space="0" w:color="000000"/>
              <w:right w:val="single" w:sz="8" w:space="0" w:color="000000"/>
            </w:tcBorders>
            <w:vAlign w:val="center"/>
          </w:tcPr>
          <w:p w14:paraId="64E4549C"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Capacidades adecuadas</w:t>
            </w:r>
          </w:p>
          <w:p w14:paraId="268EDDC2" w14:textId="77777777" w:rsidR="00657D48" w:rsidRDefault="003F3EEB">
            <w:pPr>
              <w:numPr>
                <w:ilvl w:val="0"/>
                <w:numId w:val="9"/>
              </w:numPr>
              <w:pBdr>
                <w:top w:val="nil"/>
                <w:left w:val="nil"/>
                <w:bottom w:val="nil"/>
                <w:right w:val="nil"/>
                <w:between w:val="nil"/>
              </w:pBdr>
              <w:tabs>
                <w:tab w:val="left" w:pos="8222"/>
              </w:tabs>
              <w:spacing w:after="0" w:line="240" w:lineRule="auto"/>
              <w:ind w:left="179" w:hanging="142"/>
              <w:rPr>
                <w:color w:val="000000"/>
                <w:sz w:val="16"/>
                <w:szCs w:val="16"/>
              </w:rPr>
            </w:pPr>
            <w:r>
              <w:rPr>
                <w:rFonts w:ascii="Times New Roman" w:eastAsia="Times New Roman" w:hAnsi="Times New Roman" w:cs="Times New Roman"/>
                <w:color w:val="000000"/>
                <w:sz w:val="16"/>
                <w:szCs w:val="16"/>
              </w:rPr>
              <w:t xml:space="preserve">Acondicionar la fuerza </w:t>
            </w:r>
          </w:p>
        </w:tc>
      </w:tr>
    </w:tbl>
    <w:p w14:paraId="51FE5523" w14:textId="77777777" w:rsidR="00657D48" w:rsidRDefault="00657D48">
      <w:pPr>
        <w:tabs>
          <w:tab w:val="left" w:pos="8222"/>
        </w:tabs>
        <w:spacing w:after="0" w:line="240" w:lineRule="auto"/>
        <w:rPr>
          <w:rFonts w:ascii="Times New Roman" w:eastAsia="Times New Roman" w:hAnsi="Times New Roman" w:cs="Times New Roman"/>
          <w:sz w:val="16"/>
          <w:szCs w:val="16"/>
        </w:rPr>
        <w:sectPr w:rsidR="00657D48">
          <w:headerReference w:type="default" r:id="rId65"/>
          <w:footerReference w:type="default" r:id="rId66"/>
          <w:pgSz w:w="16838" w:h="11906" w:orient="landscape"/>
          <w:pgMar w:top="2268" w:right="1701" w:bottom="1701" w:left="1701" w:header="709" w:footer="709" w:gutter="0"/>
          <w:cols w:space="720"/>
        </w:sectPr>
      </w:pPr>
    </w:p>
    <w:p w14:paraId="2514F0B7" w14:textId="57448DE8" w:rsidR="00657D48" w:rsidRDefault="003F3EEB">
      <w:pPr>
        <w:pStyle w:val="Ttulo1"/>
      </w:pPr>
      <w:bookmarkStart w:id="213" w:name="_49gfa85" w:colFirst="0" w:colLast="0"/>
      <w:bookmarkStart w:id="214" w:name="_Toc117518954"/>
      <w:bookmarkEnd w:id="213"/>
      <w:r>
        <w:lastRenderedPageBreak/>
        <w:t>Anexo 2: Instrumento de recolección de datos</w:t>
      </w:r>
      <w:bookmarkEnd w:id="214"/>
    </w:p>
    <w:p w14:paraId="2F635D85" w14:textId="77777777" w:rsidR="00657D48" w:rsidRDefault="003F3EEB">
      <w:pPr>
        <w:spacing w:after="200"/>
        <w:jc w:val="center"/>
        <w:rPr>
          <w:rFonts w:ascii="Times New Roman" w:eastAsia="Times New Roman" w:hAnsi="Times New Roman" w:cs="Times New Roman"/>
          <w:b/>
          <w:u w:val="single"/>
        </w:rPr>
      </w:pPr>
      <w:r>
        <w:rPr>
          <w:rFonts w:ascii="Times New Roman" w:eastAsia="Times New Roman" w:hAnsi="Times New Roman" w:cs="Times New Roman"/>
          <w:b/>
          <w:u w:val="single"/>
        </w:rPr>
        <w:t>ENCUESTA</w:t>
      </w:r>
    </w:p>
    <w:p w14:paraId="12078445" w14:textId="77777777" w:rsidR="00657D48" w:rsidRDefault="003F3EEB">
      <w:pPr>
        <w:spacing w:after="200"/>
        <w:jc w:val="both"/>
        <w:rPr>
          <w:rFonts w:ascii="Times New Roman" w:eastAsia="Times New Roman" w:hAnsi="Times New Roman" w:cs="Times New Roman"/>
        </w:rPr>
      </w:pPr>
      <w:r>
        <w:rPr>
          <w:rFonts w:ascii="Times New Roman" w:eastAsia="Times New Roman" w:hAnsi="Times New Roman" w:cs="Times New Roman"/>
        </w:rPr>
        <w:t>El presente instrumento de recolección de datos consiste en una encuesta tipo escala de Likert, el cual tiene como finalidad recabar información necesaria y suficiente sobre las competencias en el Sector Defensa en cuanto a la GRD. Los datos obtenidos serán tratados con absoluta confidencialidad, pues solo servirán para fines de investigación; en consecuencia, a los mismos solo tendrá acceso el investigador.</w:t>
      </w:r>
    </w:p>
    <w:p w14:paraId="456A1372" w14:textId="77777777" w:rsidR="00657D48" w:rsidRDefault="003F3EEB">
      <w:pPr>
        <w:spacing w:after="200"/>
        <w:jc w:val="both"/>
        <w:rPr>
          <w:rFonts w:ascii="Times New Roman" w:eastAsia="Times New Roman" w:hAnsi="Times New Roman" w:cs="Times New Roman"/>
          <w:i/>
        </w:rPr>
      </w:pPr>
      <w:r>
        <w:rPr>
          <w:rFonts w:ascii="Times New Roman" w:eastAsia="Times New Roman" w:hAnsi="Times New Roman" w:cs="Times New Roman"/>
        </w:rPr>
        <w:t xml:space="preserve">A continuación, usted encontrará una serie de interrogantes relacionadas con las competencias del Sector Defensa en cuanto a la GRD, construidas con base a la normatividad existente en el SINAGERD y el Sector. A tales interrogantes se les ha hecho corresponder una escala de frecuencia, con categorías del 1 al 5. Lea cuidadosamente cada interrogante y marque con un aspa (X) el número de la escala que usted considere se ajuste mejor a la realidad. La escala mencionada es la siguiente: </w:t>
      </w:r>
    </w:p>
    <w:p w14:paraId="1178E817"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1. Nunca </w:t>
      </w:r>
    </w:p>
    <w:p w14:paraId="666C6E81"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2. Pocas veces </w:t>
      </w:r>
    </w:p>
    <w:p w14:paraId="68D834E2"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3. Ocasionalmente</w:t>
      </w:r>
    </w:p>
    <w:p w14:paraId="4971C321"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4. Muchas veces</w:t>
      </w:r>
    </w:p>
    <w:p w14:paraId="2C579A96"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5. Siempre</w:t>
      </w:r>
    </w:p>
    <w:p w14:paraId="37D23EEA" w14:textId="77777777" w:rsidR="00657D48" w:rsidRDefault="00657D48">
      <w:pPr>
        <w:spacing w:after="0" w:line="240" w:lineRule="auto"/>
        <w:jc w:val="both"/>
        <w:rPr>
          <w:rFonts w:ascii="Times New Roman" w:eastAsia="Times New Roman" w:hAnsi="Times New Roman" w:cs="Times New Roman"/>
          <w:sz w:val="18"/>
          <w:szCs w:val="18"/>
          <w:u w:val="single"/>
        </w:rPr>
      </w:pPr>
    </w:p>
    <w:p w14:paraId="17C4695B" w14:textId="77777777" w:rsidR="00657D48" w:rsidRDefault="003F3EEB">
      <w:pPr>
        <w:spacing w:after="0" w:line="240" w:lineRule="auto"/>
        <w:jc w:val="both"/>
        <w:rPr>
          <w:rFonts w:ascii="Times New Roman" w:eastAsia="Times New Roman" w:hAnsi="Times New Roman" w:cs="Times New Roman"/>
          <w:u w:val="single"/>
        </w:rPr>
      </w:pPr>
      <w:r>
        <w:rPr>
          <w:rFonts w:ascii="Times New Roman" w:eastAsia="Times New Roman" w:hAnsi="Times New Roman" w:cs="Times New Roman"/>
          <w:u w:val="single"/>
        </w:rPr>
        <w:t>Donde:</w:t>
      </w:r>
    </w:p>
    <w:p w14:paraId="650A936F" w14:textId="77777777" w:rsidR="00657D48" w:rsidRDefault="003F3EEB">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1= Nunca, 2= Pocas veces, 3= Ocasionalmente, 4= Muchas veces, 5= Siempre</w:t>
      </w:r>
    </w:p>
    <w:p w14:paraId="61C6FF2F" w14:textId="77777777" w:rsidR="00657D48" w:rsidRDefault="00657D48">
      <w:pPr>
        <w:spacing w:after="0" w:line="240" w:lineRule="auto"/>
        <w:jc w:val="both"/>
        <w:rPr>
          <w:rFonts w:ascii="Times New Roman" w:eastAsia="Times New Roman" w:hAnsi="Times New Roman" w:cs="Times New Roman"/>
        </w:rPr>
      </w:pPr>
    </w:p>
    <w:p w14:paraId="2A38A390" w14:textId="77777777" w:rsidR="00657D48" w:rsidRDefault="00657D48">
      <w:pPr>
        <w:spacing w:after="0" w:line="240" w:lineRule="auto"/>
        <w:jc w:val="both"/>
        <w:rPr>
          <w:rFonts w:ascii="Times New Roman" w:eastAsia="Times New Roman" w:hAnsi="Times New Roman" w:cs="Times New Roman"/>
        </w:rPr>
      </w:pPr>
    </w:p>
    <w:tbl>
      <w:tblPr>
        <w:tblStyle w:val="af5"/>
        <w:tblW w:w="7927"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47"/>
        <w:gridCol w:w="336"/>
        <w:gridCol w:w="336"/>
        <w:gridCol w:w="336"/>
        <w:gridCol w:w="336"/>
        <w:gridCol w:w="336"/>
      </w:tblGrid>
      <w:tr w:rsidR="00657D48" w14:paraId="12544DFF" w14:textId="77777777">
        <w:trPr>
          <w:trHeight w:val="270"/>
        </w:trPr>
        <w:tc>
          <w:tcPr>
            <w:tcW w:w="6247" w:type="dxa"/>
            <w:vMerge w:val="restart"/>
          </w:tcPr>
          <w:p w14:paraId="59E79DF5" w14:textId="77777777" w:rsidR="00657D48" w:rsidRDefault="003F3EEB">
            <w:pPr>
              <w:jc w:val="center"/>
            </w:pPr>
            <w:r>
              <w:t>ITEMS</w:t>
            </w:r>
          </w:p>
        </w:tc>
        <w:tc>
          <w:tcPr>
            <w:tcW w:w="1680" w:type="dxa"/>
            <w:gridSpan w:val="5"/>
          </w:tcPr>
          <w:p w14:paraId="25A3A742" w14:textId="77777777" w:rsidR="00657D48" w:rsidRDefault="003F3EEB">
            <w:pPr>
              <w:jc w:val="center"/>
            </w:pPr>
            <w:r>
              <w:t>INDICE</w:t>
            </w:r>
          </w:p>
        </w:tc>
      </w:tr>
      <w:tr w:rsidR="00657D48" w14:paraId="50C97314" w14:textId="77777777">
        <w:trPr>
          <w:trHeight w:val="165"/>
        </w:trPr>
        <w:tc>
          <w:tcPr>
            <w:tcW w:w="6247" w:type="dxa"/>
            <w:vMerge/>
          </w:tcPr>
          <w:p w14:paraId="4740D9E5" w14:textId="77777777" w:rsidR="00657D48" w:rsidRDefault="00657D48">
            <w:pPr>
              <w:widowControl w:val="0"/>
              <w:pBdr>
                <w:top w:val="nil"/>
                <w:left w:val="nil"/>
                <w:bottom w:val="nil"/>
                <w:right w:val="nil"/>
                <w:between w:val="nil"/>
              </w:pBdr>
              <w:spacing w:line="276" w:lineRule="auto"/>
              <w:jc w:val="left"/>
            </w:pPr>
          </w:p>
        </w:tc>
        <w:tc>
          <w:tcPr>
            <w:tcW w:w="336" w:type="dxa"/>
          </w:tcPr>
          <w:p w14:paraId="1DF4111E" w14:textId="77777777" w:rsidR="00657D48" w:rsidRDefault="003F3EEB">
            <w:pPr>
              <w:jc w:val="center"/>
            </w:pPr>
            <w:r>
              <w:t>1</w:t>
            </w:r>
          </w:p>
        </w:tc>
        <w:tc>
          <w:tcPr>
            <w:tcW w:w="336" w:type="dxa"/>
          </w:tcPr>
          <w:p w14:paraId="37416718" w14:textId="77777777" w:rsidR="00657D48" w:rsidRDefault="003F3EEB">
            <w:pPr>
              <w:jc w:val="center"/>
            </w:pPr>
            <w:r>
              <w:t>2</w:t>
            </w:r>
          </w:p>
        </w:tc>
        <w:tc>
          <w:tcPr>
            <w:tcW w:w="336" w:type="dxa"/>
          </w:tcPr>
          <w:p w14:paraId="631CCA39" w14:textId="77777777" w:rsidR="00657D48" w:rsidRDefault="003F3EEB">
            <w:pPr>
              <w:jc w:val="center"/>
            </w:pPr>
            <w:r>
              <w:t>3</w:t>
            </w:r>
          </w:p>
        </w:tc>
        <w:tc>
          <w:tcPr>
            <w:tcW w:w="336" w:type="dxa"/>
          </w:tcPr>
          <w:p w14:paraId="6286E9FC" w14:textId="77777777" w:rsidR="00657D48" w:rsidRDefault="003F3EEB">
            <w:pPr>
              <w:jc w:val="center"/>
            </w:pPr>
            <w:r>
              <w:t>4</w:t>
            </w:r>
          </w:p>
        </w:tc>
        <w:tc>
          <w:tcPr>
            <w:tcW w:w="336" w:type="dxa"/>
          </w:tcPr>
          <w:p w14:paraId="6CCB5D5C" w14:textId="77777777" w:rsidR="00657D48" w:rsidRDefault="003F3EEB">
            <w:pPr>
              <w:jc w:val="center"/>
            </w:pPr>
            <w:r>
              <w:t>5</w:t>
            </w:r>
          </w:p>
        </w:tc>
      </w:tr>
      <w:tr w:rsidR="00657D48" w14:paraId="241D9429" w14:textId="77777777">
        <w:tc>
          <w:tcPr>
            <w:tcW w:w="6247" w:type="dxa"/>
          </w:tcPr>
          <w:p w14:paraId="5B50AC64" w14:textId="77777777" w:rsidR="00657D48" w:rsidRDefault="003F3EEB">
            <w:pPr>
              <w:rPr>
                <w:sz w:val="22"/>
                <w:szCs w:val="22"/>
              </w:rPr>
            </w:pPr>
            <w:r>
              <w:rPr>
                <w:sz w:val="22"/>
                <w:szCs w:val="22"/>
              </w:rPr>
              <w:t>¿Cree Ud. que  las normas y lineamientos  para reducir el riesgo existente en el Sector son apropiados?</w:t>
            </w:r>
          </w:p>
        </w:tc>
        <w:tc>
          <w:tcPr>
            <w:tcW w:w="336" w:type="dxa"/>
          </w:tcPr>
          <w:p w14:paraId="40F26845" w14:textId="77777777" w:rsidR="00657D48" w:rsidRDefault="00657D48"/>
        </w:tc>
        <w:tc>
          <w:tcPr>
            <w:tcW w:w="336" w:type="dxa"/>
          </w:tcPr>
          <w:p w14:paraId="2E970725" w14:textId="77777777" w:rsidR="00657D48" w:rsidRDefault="00657D48"/>
        </w:tc>
        <w:tc>
          <w:tcPr>
            <w:tcW w:w="336" w:type="dxa"/>
          </w:tcPr>
          <w:p w14:paraId="72F9D561" w14:textId="77777777" w:rsidR="00657D48" w:rsidRDefault="00657D48"/>
        </w:tc>
        <w:tc>
          <w:tcPr>
            <w:tcW w:w="336" w:type="dxa"/>
          </w:tcPr>
          <w:p w14:paraId="757BDA41" w14:textId="77777777" w:rsidR="00657D48" w:rsidRDefault="00657D48"/>
        </w:tc>
        <w:tc>
          <w:tcPr>
            <w:tcW w:w="336" w:type="dxa"/>
          </w:tcPr>
          <w:p w14:paraId="2B70DEBC" w14:textId="77777777" w:rsidR="00657D48" w:rsidRDefault="00657D48"/>
        </w:tc>
      </w:tr>
      <w:tr w:rsidR="00657D48" w14:paraId="5165F1F5" w14:textId="77777777">
        <w:tc>
          <w:tcPr>
            <w:tcW w:w="6247" w:type="dxa"/>
          </w:tcPr>
          <w:p w14:paraId="1DC9B5C6" w14:textId="77777777" w:rsidR="00657D48" w:rsidRDefault="003F3EEB">
            <w:pPr>
              <w:rPr>
                <w:sz w:val="22"/>
                <w:szCs w:val="22"/>
              </w:rPr>
            </w:pPr>
            <w:r>
              <w:rPr>
                <w:sz w:val="22"/>
                <w:szCs w:val="22"/>
              </w:rPr>
              <w:t>¿Considera Ud. que las herramientas técnicas existentes son adecuadas para reducir el riesgo en el Sector?</w:t>
            </w:r>
          </w:p>
        </w:tc>
        <w:tc>
          <w:tcPr>
            <w:tcW w:w="336" w:type="dxa"/>
          </w:tcPr>
          <w:p w14:paraId="5E4F2E57" w14:textId="77777777" w:rsidR="00657D48" w:rsidRDefault="00657D48"/>
        </w:tc>
        <w:tc>
          <w:tcPr>
            <w:tcW w:w="336" w:type="dxa"/>
          </w:tcPr>
          <w:p w14:paraId="1EB1AF67" w14:textId="77777777" w:rsidR="00657D48" w:rsidRDefault="00657D48"/>
        </w:tc>
        <w:tc>
          <w:tcPr>
            <w:tcW w:w="336" w:type="dxa"/>
          </w:tcPr>
          <w:p w14:paraId="21A2B632" w14:textId="77777777" w:rsidR="00657D48" w:rsidRDefault="00657D48"/>
        </w:tc>
        <w:tc>
          <w:tcPr>
            <w:tcW w:w="336" w:type="dxa"/>
          </w:tcPr>
          <w:p w14:paraId="7A346358" w14:textId="77777777" w:rsidR="00657D48" w:rsidRDefault="00657D48"/>
        </w:tc>
        <w:tc>
          <w:tcPr>
            <w:tcW w:w="336" w:type="dxa"/>
          </w:tcPr>
          <w:p w14:paraId="46D4163D" w14:textId="77777777" w:rsidR="00657D48" w:rsidRDefault="00657D48"/>
        </w:tc>
      </w:tr>
      <w:tr w:rsidR="00657D48" w14:paraId="35DD55B6" w14:textId="77777777">
        <w:tc>
          <w:tcPr>
            <w:tcW w:w="6247" w:type="dxa"/>
          </w:tcPr>
          <w:p w14:paraId="4F002F00" w14:textId="77777777" w:rsidR="00657D48" w:rsidRDefault="003F3EEB">
            <w:pPr>
              <w:rPr>
                <w:sz w:val="22"/>
                <w:szCs w:val="22"/>
              </w:rPr>
            </w:pPr>
            <w:r>
              <w:rPr>
                <w:sz w:val="22"/>
                <w:szCs w:val="22"/>
              </w:rPr>
              <w:t>¿Cree Ud., que se ha analizado la situación de los elementos expuestos en las áreas donde se ha establecido niveles de riesgo en el Sector?</w:t>
            </w:r>
          </w:p>
        </w:tc>
        <w:tc>
          <w:tcPr>
            <w:tcW w:w="336" w:type="dxa"/>
          </w:tcPr>
          <w:p w14:paraId="5517FB86" w14:textId="77777777" w:rsidR="00657D48" w:rsidRDefault="00657D48"/>
        </w:tc>
        <w:tc>
          <w:tcPr>
            <w:tcW w:w="336" w:type="dxa"/>
          </w:tcPr>
          <w:p w14:paraId="14192C6F" w14:textId="77777777" w:rsidR="00657D48" w:rsidRDefault="00657D48"/>
        </w:tc>
        <w:tc>
          <w:tcPr>
            <w:tcW w:w="336" w:type="dxa"/>
          </w:tcPr>
          <w:p w14:paraId="24CA4F41" w14:textId="77777777" w:rsidR="00657D48" w:rsidRDefault="00657D48"/>
        </w:tc>
        <w:tc>
          <w:tcPr>
            <w:tcW w:w="336" w:type="dxa"/>
          </w:tcPr>
          <w:p w14:paraId="004F3B8C" w14:textId="77777777" w:rsidR="00657D48" w:rsidRDefault="00657D48"/>
        </w:tc>
        <w:tc>
          <w:tcPr>
            <w:tcW w:w="336" w:type="dxa"/>
          </w:tcPr>
          <w:p w14:paraId="7AAC0F8C" w14:textId="77777777" w:rsidR="00657D48" w:rsidRDefault="00657D48"/>
        </w:tc>
      </w:tr>
      <w:tr w:rsidR="00657D48" w14:paraId="36BABA5E" w14:textId="77777777">
        <w:tc>
          <w:tcPr>
            <w:tcW w:w="6247" w:type="dxa"/>
          </w:tcPr>
          <w:p w14:paraId="072E05E8" w14:textId="77777777" w:rsidR="00657D48" w:rsidRDefault="003F3EEB">
            <w:pPr>
              <w:rPr>
                <w:sz w:val="22"/>
                <w:szCs w:val="22"/>
              </w:rPr>
            </w:pPr>
            <w:r>
              <w:rPr>
                <w:sz w:val="22"/>
                <w:szCs w:val="22"/>
              </w:rPr>
              <w:t>¿Considera Ud. que se ha implementado adecuadamente las acciones de reducción de vulnerabilidad existentes en el Sector?</w:t>
            </w:r>
          </w:p>
        </w:tc>
        <w:tc>
          <w:tcPr>
            <w:tcW w:w="336" w:type="dxa"/>
          </w:tcPr>
          <w:p w14:paraId="0BA54025" w14:textId="77777777" w:rsidR="00657D48" w:rsidRDefault="00657D48"/>
        </w:tc>
        <w:tc>
          <w:tcPr>
            <w:tcW w:w="336" w:type="dxa"/>
          </w:tcPr>
          <w:p w14:paraId="5D9A7B05" w14:textId="77777777" w:rsidR="00657D48" w:rsidRDefault="00657D48"/>
        </w:tc>
        <w:tc>
          <w:tcPr>
            <w:tcW w:w="336" w:type="dxa"/>
          </w:tcPr>
          <w:p w14:paraId="0A6E55C5" w14:textId="77777777" w:rsidR="00657D48" w:rsidRDefault="00657D48"/>
        </w:tc>
        <w:tc>
          <w:tcPr>
            <w:tcW w:w="336" w:type="dxa"/>
          </w:tcPr>
          <w:p w14:paraId="45DD3012" w14:textId="77777777" w:rsidR="00657D48" w:rsidRDefault="00657D48"/>
        </w:tc>
        <w:tc>
          <w:tcPr>
            <w:tcW w:w="336" w:type="dxa"/>
          </w:tcPr>
          <w:p w14:paraId="518A03A5" w14:textId="77777777" w:rsidR="00657D48" w:rsidRDefault="00657D48"/>
        </w:tc>
      </w:tr>
      <w:tr w:rsidR="00657D48" w14:paraId="5AB067D1" w14:textId="77777777">
        <w:tc>
          <w:tcPr>
            <w:tcW w:w="6247" w:type="dxa"/>
          </w:tcPr>
          <w:p w14:paraId="348C716E" w14:textId="77777777" w:rsidR="00657D48" w:rsidRDefault="003F3EEB">
            <w:pPr>
              <w:rPr>
                <w:sz w:val="22"/>
                <w:szCs w:val="22"/>
              </w:rPr>
            </w:pPr>
            <w:r>
              <w:rPr>
                <w:sz w:val="22"/>
                <w:szCs w:val="22"/>
              </w:rPr>
              <w:t>¿Cree Ud., que el monitoreo y seguimiento para el logro de los objetivos en materia de reducción del riesgo de desastres es el adecuado en el Sector?</w:t>
            </w:r>
          </w:p>
        </w:tc>
        <w:tc>
          <w:tcPr>
            <w:tcW w:w="336" w:type="dxa"/>
          </w:tcPr>
          <w:p w14:paraId="0AE8552B" w14:textId="77777777" w:rsidR="00657D48" w:rsidRDefault="00657D48"/>
        </w:tc>
        <w:tc>
          <w:tcPr>
            <w:tcW w:w="336" w:type="dxa"/>
          </w:tcPr>
          <w:p w14:paraId="0E17FBAF" w14:textId="77777777" w:rsidR="00657D48" w:rsidRDefault="00657D48"/>
        </w:tc>
        <w:tc>
          <w:tcPr>
            <w:tcW w:w="336" w:type="dxa"/>
          </w:tcPr>
          <w:p w14:paraId="491F30BB" w14:textId="77777777" w:rsidR="00657D48" w:rsidRDefault="00657D48"/>
        </w:tc>
        <w:tc>
          <w:tcPr>
            <w:tcW w:w="336" w:type="dxa"/>
          </w:tcPr>
          <w:p w14:paraId="4C9D4CB3" w14:textId="77777777" w:rsidR="00657D48" w:rsidRDefault="00657D48"/>
        </w:tc>
        <w:tc>
          <w:tcPr>
            <w:tcW w:w="336" w:type="dxa"/>
          </w:tcPr>
          <w:p w14:paraId="499455E7" w14:textId="77777777" w:rsidR="00657D48" w:rsidRDefault="00657D48"/>
        </w:tc>
      </w:tr>
      <w:tr w:rsidR="00657D48" w14:paraId="181CF8BD" w14:textId="77777777">
        <w:tc>
          <w:tcPr>
            <w:tcW w:w="6247" w:type="dxa"/>
          </w:tcPr>
          <w:p w14:paraId="3C8BA228" w14:textId="77777777" w:rsidR="00657D48" w:rsidRDefault="003F3EEB">
            <w:pPr>
              <w:rPr>
                <w:sz w:val="22"/>
                <w:szCs w:val="22"/>
              </w:rPr>
            </w:pPr>
            <w:r>
              <w:rPr>
                <w:sz w:val="22"/>
                <w:szCs w:val="22"/>
              </w:rPr>
              <w:lastRenderedPageBreak/>
              <w:t>¿Considera Ud. que se debería implementar herramientas y/o mecanismos adecuadas para  evaluar y retroalimentar el proceso de reducción del riesgo de desastres en el Sector?</w:t>
            </w:r>
          </w:p>
        </w:tc>
        <w:tc>
          <w:tcPr>
            <w:tcW w:w="336" w:type="dxa"/>
          </w:tcPr>
          <w:p w14:paraId="53D89B37" w14:textId="77777777" w:rsidR="00657D48" w:rsidRDefault="00657D48"/>
        </w:tc>
        <w:tc>
          <w:tcPr>
            <w:tcW w:w="336" w:type="dxa"/>
          </w:tcPr>
          <w:p w14:paraId="37C78025" w14:textId="77777777" w:rsidR="00657D48" w:rsidRDefault="00657D48"/>
        </w:tc>
        <w:tc>
          <w:tcPr>
            <w:tcW w:w="336" w:type="dxa"/>
          </w:tcPr>
          <w:p w14:paraId="7B8BEC3F" w14:textId="77777777" w:rsidR="00657D48" w:rsidRDefault="00657D48"/>
        </w:tc>
        <w:tc>
          <w:tcPr>
            <w:tcW w:w="336" w:type="dxa"/>
          </w:tcPr>
          <w:p w14:paraId="41F320CD" w14:textId="77777777" w:rsidR="00657D48" w:rsidRDefault="00657D48"/>
        </w:tc>
        <w:tc>
          <w:tcPr>
            <w:tcW w:w="336" w:type="dxa"/>
          </w:tcPr>
          <w:p w14:paraId="273E3250" w14:textId="77777777" w:rsidR="00657D48" w:rsidRDefault="00657D48"/>
        </w:tc>
      </w:tr>
      <w:tr w:rsidR="00657D48" w14:paraId="446BE8BD" w14:textId="77777777">
        <w:tc>
          <w:tcPr>
            <w:tcW w:w="6247" w:type="dxa"/>
          </w:tcPr>
          <w:p w14:paraId="2A7F1DB0" w14:textId="77777777" w:rsidR="00657D48" w:rsidRDefault="003F3EEB">
            <w:pPr>
              <w:rPr>
                <w:sz w:val="22"/>
                <w:szCs w:val="22"/>
              </w:rPr>
            </w:pPr>
            <w:r>
              <w:rPr>
                <w:sz w:val="22"/>
                <w:szCs w:val="22"/>
              </w:rPr>
              <w:t>¿Cree Ud., que el plan de preparación del sector está alineado con la RM N° 050-2020-PCM que responde a los Lineamientos para la implementación del proceso de preparación y formulación de los Planes de Preparación en los tres niveles de gobierno?</w:t>
            </w:r>
          </w:p>
        </w:tc>
        <w:tc>
          <w:tcPr>
            <w:tcW w:w="336" w:type="dxa"/>
          </w:tcPr>
          <w:p w14:paraId="69A2B729" w14:textId="77777777" w:rsidR="00657D48" w:rsidRDefault="00657D48"/>
        </w:tc>
        <w:tc>
          <w:tcPr>
            <w:tcW w:w="336" w:type="dxa"/>
          </w:tcPr>
          <w:p w14:paraId="22599203" w14:textId="77777777" w:rsidR="00657D48" w:rsidRDefault="00657D48"/>
        </w:tc>
        <w:tc>
          <w:tcPr>
            <w:tcW w:w="336" w:type="dxa"/>
          </w:tcPr>
          <w:p w14:paraId="61434911" w14:textId="77777777" w:rsidR="00657D48" w:rsidRDefault="00657D48"/>
        </w:tc>
        <w:tc>
          <w:tcPr>
            <w:tcW w:w="336" w:type="dxa"/>
          </w:tcPr>
          <w:p w14:paraId="6D56F20E" w14:textId="77777777" w:rsidR="00657D48" w:rsidRDefault="00657D48"/>
        </w:tc>
        <w:tc>
          <w:tcPr>
            <w:tcW w:w="336" w:type="dxa"/>
          </w:tcPr>
          <w:p w14:paraId="3B90FDF8" w14:textId="77777777" w:rsidR="00657D48" w:rsidRDefault="00657D48"/>
        </w:tc>
      </w:tr>
      <w:tr w:rsidR="00657D48" w14:paraId="1E9E418F" w14:textId="77777777">
        <w:tc>
          <w:tcPr>
            <w:tcW w:w="6247" w:type="dxa"/>
          </w:tcPr>
          <w:p w14:paraId="7ACC65BC" w14:textId="77777777" w:rsidR="00657D48" w:rsidRDefault="003F3EEB">
            <w:pPr>
              <w:rPr>
                <w:sz w:val="22"/>
                <w:szCs w:val="22"/>
              </w:rPr>
            </w:pPr>
            <w:r>
              <w:rPr>
                <w:sz w:val="22"/>
                <w:szCs w:val="22"/>
              </w:rPr>
              <w:t>¿Considera Ud. que el plan de preparación es la herramienta más adecuada para fortalecer las capacidades del Sector Defensa para anticiparse y responder de forma eficiente y eficaz en caso de desastres o situación de peligro inminente en atención a la población y a sus medios de vida en el marco de las competencias del Sector?</w:t>
            </w:r>
          </w:p>
        </w:tc>
        <w:tc>
          <w:tcPr>
            <w:tcW w:w="336" w:type="dxa"/>
          </w:tcPr>
          <w:p w14:paraId="0E67DDA7" w14:textId="77777777" w:rsidR="00657D48" w:rsidRDefault="00657D48"/>
        </w:tc>
        <w:tc>
          <w:tcPr>
            <w:tcW w:w="336" w:type="dxa"/>
          </w:tcPr>
          <w:p w14:paraId="41AF08FD" w14:textId="77777777" w:rsidR="00657D48" w:rsidRDefault="00657D48"/>
        </w:tc>
        <w:tc>
          <w:tcPr>
            <w:tcW w:w="336" w:type="dxa"/>
          </w:tcPr>
          <w:p w14:paraId="72F8AA06" w14:textId="77777777" w:rsidR="00657D48" w:rsidRDefault="00657D48"/>
        </w:tc>
        <w:tc>
          <w:tcPr>
            <w:tcW w:w="336" w:type="dxa"/>
          </w:tcPr>
          <w:p w14:paraId="489F9965" w14:textId="77777777" w:rsidR="00657D48" w:rsidRDefault="00657D48"/>
        </w:tc>
        <w:tc>
          <w:tcPr>
            <w:tcW w:w="336" w:type="dxa"/>
          </w:tcPr>
          <w:p w14:paraId="2DCCA337" w14:textId="77777777" w:rsidR="00657D48" w:rsidRDefault="00657D48"/>
        </w:tc>
      </w:tr>
      <w:tr w:rsidR="00657D48" w14:paraId="5C68E33E" w14:textId="77777777">
        <w:tc>
          <w:tcPr>
            <w:tcW w:w="6247" w:type="dxa"/>
          </w:tcPr>
          <w:p w14:paraId="3845D6DA" w14:textId="77777777" w:rsidR="00657D48" w:rsidRDefault="003F3EEB">
            <w:pPr>
              <w:rPr>
                <w:sz w:val="22"/>
                <w:szCs w:val="22"/>
              </w:rPr>
            </w:pPr>
            <w:r>
              <w:rPr>
                <w:sz w:val="22"/>
                <w:szCs w:val="22"/>
              </w:rPr>
              <w:t>¿Cree Ud., que el desarrollo y fortalecimiento de las capacidades humanas organizacionales, capacidades técnicas y de investigación (Por ejemplo: CONIDA, DHN, IGN, etc.)  son las más adecuadas en el Sector?</w:t>
            </w:r>
          </w:p>
        </w:tc>
        <w:tc>
          <w:tcPr>
            <w:tcW w:w="336" w:type="dxa"/>
          </w:tcPr>
          <w:p w14:paraId="6A50431B" w14:textId="77777777" w:rsidR="00657D48" w:rsidRDefault="00657D48"/>
        </w:tc>
        <w:tc>
          <w:tcPr>
            <w:tcW w:w="336" w:type="dxa"/>
          </w:tcPr>
          <w:p w14:paraId="242B61D0" w14:textId="77777777" w:rsidR="00657D48" w:rsidRDefault="00657D48"/>
        </w:tc>
        <w:tc>
          <w:tcPr>
            <w:tcW w:w="336" w:type="dxa"/>
          </w:tcPr>
          <w:p w14:paraId="2F543DD5" w14:textId="77777777" w:rsidR="00657D48" w:rsidRDefault="00657D48"/>
        </w:tc>
        <w:tc>
          <w:tcPr>
            <w:tcW w:w="336" w:type="dxa"/>
          </w:tcPr>
          <w:p w14:paraId="4DD4E2FA" w14:textId="77777777" w:rsidR="00657D48" w:rsidRDefault="00657D48"/>
        </w:tc>
        <w:tc>
          <w:tcPr>
            <w:tcW w:w="336" w:type="dxa"/>
          </w:tcPr>
          <w:p w14:paraId="7B147F69" w14:textId="77777777" w:rsidR="00657D48" w:rsidRDefault="00657D48"/>
        </w:tc>
      </w:tr>
      <w:tr w:rsidR="00657D48" w14:paraId="733AD6DC" w14:textId="77777777">
        <w:tc>
          <w:tcPr>
            <w:tcW w:w="6247" w:type="dxa"/>
          </w:tcPr>
          <w:p w14:paraId="3EE2A45B" w14:textId="77777777" w:rsidR="00657D48" w:rsidRDefault="003F3EEB">
            <w:pPr>
              <w:rPr>
                <w:sz w:val="22"/>
                <w:szCs w:val="22"/>
              </w:rPr>
            </w:pPr>
            <w:r>
              <w:rPr>
                <w:sz w:val="22"/>
                <w:szCs w:val="22"/>
              </w:rPr>
              <w:t>¿Considera Ud. que el equipamiento para una respuesta eficiente y eficaz en situación de emergencia o desastre es el más apropiado en el Sector?</w:t>
            </w:r>
          </w:p>
        </w:tc>
        <w:tc>
          <w:tcPr>
            <w:tcW w:w="336" w:type="dxa"/>
          </w:tcPr>
          <w:p w14:paraId="17C800F1" w14:textId="77777777" w:rsidR="00657D48" w:rsidRDefault="00657D48"/>
        </w:tc>
        <w:tc>
          <w:tcPr>
            <w:tcW w:w="336" w:type="dxa"/>
          </w:tcPr>
          <w:p w14:paraId="6ED8D4C5" w14:textId="77777777" w:rsidR="00657D48" w:rsidRDefault="00657D48"/>
        </w:tc>
        <w:tc>
          <w:tcPr>
            <w:tcW w:w="336" w:type="dxa"/>
          </w:tcPr>
          <w:p w14:paraId="0F6784C0" w14:textId="77777777" w:rsidR="00657D48" w:rsidRDefault="00657D48"/>
        </w:tc>
        <w:tc>
          <w:tcPr>
            <w:tcW w:w="336" w:type="dxa"/>
          </w:tcPr>
          <w:p w14:paraId="115C84E8" w14:textId="77777777" w:rsidR="00657D48" w:rsidRDefault="00657D48"/>
        </w:tc>
        <w:tc>
          <w:tcPr>
            <w:tcW w:w="336" w:type="dxa"/>
          </w:tcPr>
          <w:p w14:paraId="256372E1" w14:textId="77777777" w:rsidR="00657D48" w:rsidRDefault="00657D48"/>
        </w:tc>
      </w:tr>
      <w:tr w:rsidR="00657D48" w14:paraId="5368803A" w14:textId="77777777">
        <w:tc>
          <w:tcPr>
            <w:tcW w:w="6247" w:type="dxa"/>
          </w:tcPr>
          <w:p w14:paraId="3351ADCF" w14:textId="77777777" w:rsidR="00657D48" w:rsidRDefault="003F3EEB">
            <w:pPr>
              <w:rPr>
                <w:sz w:val="22"/>
                <w:szCs w:val="22"/>
              </w:rPr>
            </w:pPr>
            <w:r>
              <w:rPr>
                <w:sz w:val="22"/>
                <w:szCs w:val="22"/>
              </w:rPr>
              <w:t>¿Considera Ud. que el equipamiento para una respuesta eficiente y eficaz debe de ser concordante a la región del país en la que se produce la emergencia o desastre?</w:t>
            </w:r>
          </w:p>
        </w:tc>
        <w:tc>
          <w:tcPr>
            <w:tcW w:w="336" w:type="dxa"/>
          </w:tcPr>
          <w:p w14:paraId="5F85A9A7" w14:textId="77777777" w:rsidR="00657D48" w:rsidRDefault="00657D48"/>
        </w:tc>
        <w:tc>
          <w:tcPr>
            <w:tcW w:w="336" w:type="dxa"/>
          </w:tcPr>
          <w:p w14:paraId="25CA4223" w14:textId="77777777" w:rsidR="00657D48" w:rsidRDefault="00657D48"/>
        </w:tc>
        <w:tc>
          <w:tcPr>
            <w:tcW w:w="336" w:type="dxa"/>
          </w:tcPr>
          <w:p w14:paraId="5B5803B7" w14:textId="77777777" w:rsidR="00657D48" w:rsidRDefault="00657D48"/>
        </w:tc>
        <w:tc>
          <w:tcPr>
            <w:tcW w:w="336" w:type="dxa"/>
          </w:tcPr>
          <w:p w14:paraId="5A937CDD" w14:textId="77777777" w:rsidR="00657D48" w:rsidRDefault="00657D48"/>
        </w:tc>
        <w:tc>
          <w:tcPr>
            <w:tcW w:w="336" w:type="dxa"/>
          </w:tcPr>
          <w:p w14:paraId="672A0E03" w14:textId="77777777" w:rsidR="00657D48" w:rsidRDefault="00657D48"/>
        </w:tc>
      </w:tr>
      <w:tr w:rsidR="00657D48" w14:paraId="21FBB9CF" w14:textId="77777777">
        <w:tc>
          <w:tcPr>
            <w:tcW w:w="6247" w:type="dxa"/>
          </w:tcPr>
          <w:p w14:paraId="6B0C0390" w14:textId="77777777" w:rsidR="00657D48" w:rsidRDefault="003F3EEB">
            <w:pPr>
              <w:rPr>
                <w:sz w:val="22"/>
                <w:szCs w:val="22"/>
              </w:rPr>
            </w:pPr>
            <w:r>
              <w:rPr>
                <w:sz w:val="22"/>
                <w:szCs w:val="22"/>
              </w:rPr>
              <w:t>¿Cree Ud., que la gestión de recursos debe ser fortalecida en el Sector a través del Programa presupuestal 0068?</w:t>
            </w:r>
          </w:p>
        </w:tc>
        <w:tc>
          <w:tcPr>
            <w:tcW w:w="336" w:type="dxa"/>
          </w:tcPr>
          <w:p w14:paraId="46F1AAFD" w14:textId="77777777" w:rsidR="00657D48" w:rsidRDefault="00657D48"/>
        </w:tc>
        <w:tc>
          <w:tcPr>
            <w:tcW w:w="336" w:type="dxa"/>
          </w:tcPr>
          <w:p w14:paraId="40399988" w14:textId="77777777" w:rsidR="00657D48" w:rsidRDefault="00657D48"/>
        </w:tc>
        <w:tc>
          <w:tcPr>
            <w:tcW w:w="336" w:type="dxa"/>
          </w:tcPr>
          <w:p w14:paraId="7CC3C647" w14:textId="77777777" w:rsidR="00657D48" w:rsidRDefault="00657D48"/>
        </w:tc>
        <w:tc>
          <w:tcPr>
            <w:tcW w:w="336" w:type="dxa"/>
          </w:tcPr>
          <w:p w14:paraId="7D9A83C1" w14:textId="77777777" w:rsidR="00657D48" w:rsidRDefault="00657D48"/>
        </w:tc>
        <w:tc>
          <w:tcPr>
            <w:tcW w:w="336" w:type="dxa"/>
          </w:tcPr>
          <w:p w14:paraId="2BBD8DF5" w14:textId="77777777" w:rsidR="00657D48" w:rsidRDefault="00657D48"/>
        </w:tc>
      </w:tr>
      <w:tr w:rsidR="00657D48" w14:paraId="0A0D407A" w14:textId="77777777">
        <w:tc>
          <w:tcPr>
            <w:tcW w:w="6247" w:type="dxa"/>
          </w:tcPr>
          <w:p w14:paraId="511410D1" w14:textId="77777777" w:rsidR="00657D48" w:rsidRDefault="003F3EEB">
            <w:pPr>
              <w:rPr>
                <w:sz w:val="22"/>
                <w:szCs w:val="22"/>
              </w:rPr>
            </w:pPr>
            <w:r>
              <w:rPr>
                <w:sz w:val="22"/>
                <w:szCs w:val="22"/>
              </w:rPr>
              <w:t>¿Considera Ud. que el fortalecimiento de la gestión de recursos debe ser mediante los fondos públicos, programas presupuestales, la movilización y la cooperación internacional?</w:t>
            </w:r>
          </w:p>
        </w:tc>
        <w:tc>
          <w:tcPr>
            <w:tcW w:w="336" w:type="dxa"/>
          </w:tcPr>
          <w:p w14:paraId="09D5FADF" w14:textId="77777777" w:rsidR="00657D48" w:rsidRDefault="00657D48"/>
        </w:tc>
        <w:tc>
          <w:tcPr>
            <w:tcW w:w="336" w:type="dxa"/>
          </w:tcPr>
          <w:p w14:paraId="7105E16D" w14:textId="77777777" w:rsidR="00657D48" w:rsidRDefault="00657D48"/>
        </w:tc>
        <w:tc>
          <w:tcPr>
            <w:tcW w:w="336" w:type="dxa"/>
          </w:tcPr>
          <w:p w14:paraId="09A5F715" w14:textId="77777777" w:rsidR="00657D48" w:rsidRDefault="00657D48"/>
        </w:tc>
        <w:tc>
          <w:tcPr>
            <w:tcW w:w="336" w:type="dxa"/>
          </w:tcPr>
          <w:p w14:paraId="3F048412" w14:textId="77777777" w:rsidR="00657D48" w:rsidRDefault="00657D48"/>
        </w:tc>
        <w:tc>
          <w:tcPr>
            <w:tcW w:w="336" w:type="dxa"/>
          </w:tcPr>
          <w:p w14:paraId="2B4B7D28" w14:textId="77777777" w:rsidR="00657D48" w:rsidRDefault="00657D48"/>
        </w:tc>
      </w:tr>
      <w:tr w:rsidR="00657D48" w14:paraId="25F6C020" w14:textId="77777777">
        <w:tc>
          <w:tcPr>
            <w:tcW w:w="6247" w:type="dxa"/>
          </w:tcPr>
          <w:p w14:paraId="396F2CBC" w14:textId="77777777" w:rsidR="00657D48" w:rsidRDefault="003F3EEB">
            <w:pPr>
              <w:rPr>
                <w:sz w:val="22"/>
                <w:szCs w:val="22"/>
              </w:rPr>
            </w:pPr>
            <w:r>
              <w:rPr>
                <w:sz w:val="22"/>
                <w:szCs w:val="22"/>
              </w:rPr>
              <w:t>¿Cree Ud., que se realizan actividades transversales orientadas a conducir y coordinar las emergencias o desastres en el Sector?</w:t>
            </w:r>
          </w:p>
        </w:tc>
        <w:tc>
          <w:tcPr>
            <w:tcW w:w="336" w:type="dxa"/>
          </w:tcPr>
          <w:p w14:paraId="79140CC6" w14:textId="77777777" w:rsidR="00657D48" w:rsidRDefault="00657D48"/>
        </w:tc>
        <w:tc>
          <w:tcPr>
            <w:tcW w:w="336" w:type="dxa"/>
          </w:tcPr>
          <w:p w14:paraId="113AF807" w14:textId="77777777" w:rsidR="00657D48" w:rsidRDefault="00657D48"/>
        </w:tc>
        <w:tc>
          <w:tcPr>
            <w:tcW w:w="336" w:type="dxa"/>
          </w:tcPr>
          <w:p w14:paraId="1E49CDD5" w14:textId="77777777" w:rsidR="00657D48" w:rsidRDefault="00657D48"/>
        </w:tc>
        <w:tc>
          <w:tcPr>
            <w:tcW w:w="336" w:type="dxa"/>
          </w:tcPr>
          <w:p w14:paraId="106A1B14" w14:textId="77777777" w:rsidR="00657D48" w:rsidRDefault="00657D48"/>
        </w:tc>
        <w:tc>
          <w:tcPr>
            <w:tcW w:w="336" w:type="dxa"/>
          </w:tcPr>
          <w:p w14:paraId="519D98AB" w14:textId="77777777" w:rsidR="00657D48" w:rsidRDefault="00657D48"/>
        </w:tc>
      </w:tr>
      <w:tr w:rsidR="00657D48" w14:paraId="63AA5B0D" w14:textId="77777777">
        <w:tc>
          <w:tcPr>
            <w:tcW w:w="6247" w:type="dxa"/>
          </w:tcPr>
          <w:p w14:paraId="0635439A" w14:textId="77777777" w:rsidR="00657D48" w:rsidRDefault="003F3EEB">
            <w:pPr>
              <w:rPr>
                <w:sz w:val="22"/>
                <w:szCs w:val="22"/>
              </w:rPr>
            </w:pPr>
            <w:r>
              <w:rPr>
                <w:sz w:val="22"/>
                <w:szCs w:val="22"/>
              </w:rPr>
              <w:t>¿Considera Ud. que la conducción y coordinación sirven para generar las decisiones que se transformen en acciones de intervención inicial, primera respuesta y respuesta complementaria con base a información oportuna en el Sector?</w:t>
            </w:r>
          </w:p>
        </w:tc>
        <w:tc>
          <w:tcPr>
            <w:tcW w:w="336" w:type="dxa"/>
          </w:tcPr>
          <w:p w14:paraId="446F125C" w14:textId="77777777" w:rsidR="00657D48" w:rsidRDefault="00657D48"/>
        </w:tc>
        <w:tc>
          <w:tcPr>
            <w:tcW w:w="336" w:type="dxa"/>
          </w:tcPr>
          <w:p w14:paraId="74201BBA" w14:textId="77777777" w:rsidR="00657D48" w:rsidRDefault="00657D48"/>
        </w:tc>
        <w:tc>
          <w:tcPr>
            <w:tcW w:w="336" w:type="dxa"/>
          </w:tcPr>
          <w:p w14:paraId="0ED49347" w14:textId="77777777" w:rsidR="00657D48" w:rsidRDefault="00657D48"/>
        </w:tc>
        <w:tc>
          <w:tcPr>
            <w:tcW w:w="336" w:type="dxa"/>
          </w:tcPr>
          <w:p w14:paraId="0C22C311" w14:textId="77777777" w:rsidR="00657D48" w:rsidRDefault="00657D48"/>
        </w:tc>
        <w:tc>
          <w:tcPr>
            <w:tcW w:w="336" w:type="dxa"/>
          </w:tcPr>
          <w:p w14:paraId="2CA22677" w14:textId="77777777" w:rsidR="00657D48" w:rsidRDefault="00657D48"/>
        </w:tc>
      </w:tr>
      <w:tr w:rsidR="00657D48" w14:paraId="70B852CA" w14:textId="77777777">
        <w:tc>
          <w:tcPr>
            <w:tcW w:w="6247" w:type="dxa"/>
          </w:tcPr>
          <w:p w14:paraId="1973E7ED" w14:textId="77777777" w:rsidR="00657D48" w:rsidRDefault="003F3EEB">
            <w:pPr>
              <w:rPr>
                <w:sz w:val="22"/>
                <w:szCs w:val="22"/>
              </w:rPr>
            </w:pPr>
            <w:r>
              <w:rPr>
                <w:sz w:val="22"/>
                <w:szCs w:val="22"/>
              </w:rPr>
              <w:t>¿Cree Ud., que el entrenamiento de las FFAA para salvaguardar vidas, controlar incendios, explosiones y fugas es el adecuado?</w:t>
            </w:r>
          </w:p>
        </w:tc>
        <w:tc>
          <w:tcPr>
            <w:tcW w:w="336" w:type="dxa"/>
          </w:tcPr>
          <w:p w14:paraId="0E953FA6" w14:textId="77777777" w:rsidR="00657D48" w:rsidRDefault="00657D48"/>
        </w:tc>
        <w:tc>
          <w:tcPr>
            <w:tcW w:w="336" w:type="dxa"/>
          </w:tcPr>
          <w:p w14:paraId="0EB780E6" w14:textId="77777777" w:rsidR="00657D48" w:rsidRDefault="00657D48"/>
        </w:tc>
        <w:tc>
          <w:tcPr>
            <w:tcW w:w="336" w:type="dxa"/>
          </w:tcPr>
          <w:p w14:paraId="30D8B6DF" w14:textId="77777777" w:rsidR="00657D48" w:rsidRDefault="00657D48"/>
        </w:tc>
        <w:tc>
          <w:tcPr>
            <w:tcW w:w="336" w:type="dxa"/>
          </w:tcPr>
          <w:p w14:paraId="04EC4F26" w14:textId="77777777" w:rsidR="00657D48" w:rsidRDefault="00657D48"/>
        </w:tc>
        <w:tc>
          <w:tcPr>
            <w:tcW w:w="336" w:type="dxa"/>
          </w:tcPr>
          <w:p w14:paraId="78A518E0" w14:textId="77777777" w:rsidR="00657D48" w:rsidRDefault="00657D48"/>
        </w:tc>
      </w:tr>
      <w:tr w:rsidR="00657D48" w14:paraId="44DABB61" w14:textId="77777777">
        <w:tc>
          <w:tcPr>
            <w:tcW w:w="6247" w:type="dxa"/>
          </w:tcPr>
          <w:p w14:paraId="6A4D14AE" w14:textId="77777777" w:rsidR="00657D48" w:rsidRDefault="003F3EEB">
            <w:pPr>
              <w:rPr>
                <w:sz w:val="22"/>
                <w:szCs w:val="22"/>
              </w:rPr>
            </w:pPr>
            <w:r>
              <w:rPr>
                <w:sz w:val="22"/>
                <w:szCs w:val="22"/>
              </w:rPr>
              <w:t>¿Considera Ud. que el personal que participa en la primera respuesta tiene bien establecidos los procedimientos para proteger los bienes y mantener la seguridad pública cuando actúa en una emergencia o desastres?</w:t>
            </w:r>
          </w:p>
        </w:tc>
        <w:tc>
          <w:tcPr>
            <w:tcW w:w="336" w:type="dxa"/>
          </w:tcPr>
          <w:p w14:paraId="2A1F3672" w14:textId="77777777" w:rsidR="00657D48" w:rsidRDefault="00657D48"/>
        </w:tc>
        <w:tc>
          <w:tcPr>
            <w:tcW w:w="336" w:type="dxa"/>
          </w:tcPr>
          <w:p w14:paraId="0A788816" w14:textId="77777777" w:rsidR="00657D48" w:rsidRDefault="00657D48"/>
        </w:tc>
        <w:tc>
          <w:tcPr>
            <w:tcW w:w="336" w:type="dxa"/>
          </w:tcPr>
          <w:p w14:paraId="4D097135" w14:textId="77777777" w:rsidR="00657D48" w:rsidRDefault="00657D48"/>
        </w:tc>
        <w:tc>
          <w:tcPr>
            <w:tcW w:w="336" w:type="dxa"/>
          </w:tcPr>
          <w:p w14:paraId="7E48E773" w14:textId="77777777" w:rsidR="00657D48" w:rsidRDefault="00657D48"/>
        </w:tc>
        <w:tc>
          <w:tcPr>
            <w:tcW w:w="336" w:type="dxa"/>
          </w:tcPr>
          <w:p w14:paraId="4DE427E1" w14:textId="77777777" w:rsidR="00657D48" w:rsidRDefault="00657D48"/>
        </w:tc>
      </w:tr>
      <w:tr w:rsidR="00657D48" w14:paraId="4D1882DA" w14:textId="77777777">
        <w:tc>
          <w:tcPr>
            <w:tcW w:w="6247" w:type="dxa"/>
          </w:tcPr>
          <w:p w14:paraId="16534D82" w14:textId="77777777" w:rsidR="00657D48" w:rsidRDefault="003F3EEB">
            <w:pPr>
              <w:rPr>
                <w:sz w:val="22"/>
                <w:szCs w:val="22"/>
              </w:rPr>
            </w:pPr>
            <w:r>
              <w:rPr>
                <w:sz w:val="22"/>
                <w:szCs w:val="22"/>
              </w:rPr>
              <w:t>¿Considera Ud. que el personal que participa en la primera respuesta como integrante de la CIRD’s tiene la capacitación y equipamiento adecuado?</w:t>
            </w:r>
          </w:p>
        </w:tc>
        <w:tc>
          <w:tcPr>
            <w:tcW w:w="336" w:type="dxa"/>
          </w:tcPr>
          <w:p w14:paraId="14D142D4" w14:textId="77777777" w:rsidR="00657D48" w:rsidRDefault="00657D48"/>
        </w:tc>
        <w:tc>
          <w:tcPr>
            <w:tcW w:w="336" w:type="dxa"/>
          </w:tcPr>
          <w:p w14:paraId="3AFD873F" w14:textId="77777777" w:rsidR="00657D48" w:rsidRDefault="00657D48"/>
        </w:tc>
        <w:tc>
          <w:tcPr>
            <w:tcW w:w="336" w:type="dxa"/>
          </w:tcPr>
          <w:p w14:paraId="2B3A59A0" w14:textId="77777777" w:rsidR="00657D48" w:rsidRDefault="00657D48"/>
        </w:tc>
        <w:tc>
          <w:tcPr>
            <w:tcW w:w="336" w:type="dxa"/>
          </w:tcPr>
          <w:p w14:paraId="788D0B84" w14:textId="77777777" w:rsidR="00657D48" w:rsidRDefault="00657D48"/>
        </w:tc>
        <w:tc>
          <w:tcPr>
            <w:tcW w:w="336" w:type="dxa"/>
          </w:tcPr>
          <w:p w14:paraId="55FFB03A" w14:textId="77777777" w:rsidR="00657D48" w:rsidRDefault="00657D48"/>
        </w:tc>
      </w:tr>
      <w:tr w:rsidR="00657D48" w14:paraId="14DDC35F" w14:textId="77777777">
        <w:tc>
          <w:tcPr>
            <w:tcW w:w="6247" w:type="dxa"/>
            <w:vAlign w:val="center"/>
          </w:tcPr>
          <w:p w14:paraId="4060C09C" w14:textId="77777777" w:rsidR="00657D48" w:rsidRDefault="003F3EEB">
            <w:pPr>
              <w:rPr>
                <w:sz w:val="22"/>
                <w:szCs w:val="22"/>
              </w:rPr>
            </w:pPr>
            <w:r>
              <w:rPr>
                <w:sz w:val="22"/>
                <w:szCs w:val="22"/>
              </w:rPr>
              <w:t xml:space="preserve">¿Cree Ud., que el suministro en cuanto al abastecimiento y mantenimiento del equipo es el adecuado en las cantidades que requiere el personal de las FFAA para actuar en las emergencias o desastres? </w:t>
            </w:r>
          </w:p>
        </w:tc>
        <w:tc>
          <w:tcPr>
            <w:tcW w:w="336" w:type="dxa"/>
          </w:tcPr>
          <w:p w14:paraId="5AC9EB39" w14:textId="77777777" w:rsidR="00657D48" w:rsidRDefault="00657D48"/>
        </w:tc>
        <w:tc>
          <w:tcPr>
            <w:tcW w:w="336" w:type="dxa"/>
          </w:tcPr>
          <w:p w14:paraId="0F51DFA6" w14:textId="77777777" w:rsidR="00657D48" w:rsidRDefault="00657D48"/>
        </w:tc>
        <w:tc>
          <w:tcPr>
            <w:tcW w:w="336" w:type="dxa"/>
          </w:tcPr>
          <w:p w14:paraId="52FD9308" w14:textId="77777777" w:rsidR="00657D48" w:rsidRDefault="00657D48"/>
        </w:tc>
        <w:tc>
          <w:tcPr>
            <w:tcW w:w="336" w:type="dxa"/>
          </w:tcPr>
          <w:p w14:paraId="64FE8ECB" w14:textId="77777777" w:rsidR="00657D48" w:rsidRDefault="00657D48"/>
        </w:tc>
        <w:tc>
          <w:tcPr>
            <w:tcW w:w="336" w:type="dxa"/>
          </w:tcPr>
          <w:p w14:paraId="14B8E960" w14:textId="77777777" w:rsidR="00657D48" w:rsidRDefault="00657D48"/>
        </w:tc>
      </w:tr>
      <w:tr w:rsidR="00657D48" w14:paraId="500B6C7E" w14:textId="77777777">
        <w:tc>
          <w:tcPr>
            <w:tcW w:w="6247" w:type="dxa"/>
            <w:vAlign w:val="center"/>
          </w:tcPr>
          <w:p w14:paraId="1A9CCF88" w14:textId="77777777" w:rsidR="00657D48" w:rsidRDefault="003F3EEB">
            <w:pPr>
              <w:rPr>
                <w:sz w:val="22"/>
                <w:szCs w:val="22"/>
              </w:rPr>
            </w:pPr>
            <w:r>
              <w:rPr>
                <w:sz w:val="22"/>
                <w:szCs w:val="22"/>
              </w:rPr>
              <w:t xml:space="preserve">¿Considera Ud. que el equipamiento y el entrenamiento del personal especializado de las FFAA se debe fortalecer para actuar en emergencias o desastres? </w:t>
            </w:r>
          </w:p>
        </w:tc>
        <w:tc>
          <w:tcPr>
            <w:tcW w:w="336" w:type="dxa"/>
          </w:tcPr>
          <w:p w14:paraId="0CD25AD8" w14:textId="77777777" w:rsidR="00657D48" w:rsidRDefault="00657D48"/>
        </w:tc>
        <w:tc>
          <w:tcPr>
            <w:tcW w:w="336" w:type="dxa"/>
          </w:tcPr>
          <w:p w14:paraId="7CF3BA0D" w14:textId="77777777" w:rsidR="00657D48" w:rsidRDefault="00657D48"/>
        </w:tc>
        <w:tc>
          <w:tcPr>
            <w:tcW w:w="336" w:type="dxa"/>
          </w:tcPr>
          <w:p w14:paraId="2D357DA9" w14:textId="77777777" w:rsidR="00657D48" w:rsidRDefault="00657D48"/>
        </w:tc>
        <w:tc>
          <w:tcPr>
            <w:tcW w:w="336" w:type="dxa"/>
          </w:tcPr>
          <w:p w14:paraId="78227676" w14:textId="77777777" w:rsidR="00657D48" w:rsidRDefault="00657D48"/>
        </w:tc>
        <w:tc>
          <w:tcPr>
            <w:tcW w:w="336" w:type="dxa"/>
          </w:tcPr>
          <w:p w14:paraId="5D27844D" w14:textId="77777777" w:rsidR="00657D48" w:rsidRDefault="00657D48"/>
        </w:tc>
      </w:tr>
      <w:tr w:rsidR="00657D48" w14:paraId="7E246A22" w14:textId="77777777">
        <w:tc>
          <w:tcPr>
            <w:tcW w:w="6247" w:type="dxa"/>
            <w:vAlign w:val="center"/>
          </w:tcPr>
          <w:p w14:paraId="614DF48A" w14:textId="77777777" w:rsidR="00657D48" w:rsidRDefault="003F3EEB">
            <w:pPr>
              <w:rPr>
                <w:sz w:val="22"/>
                <w:szCs w:val="22"/>
              </w:rPr>
            </w:pPr>
            <w:r>
              <w:rPr>
                <w:sz w:val="22"/>
                <w:szCs w:val="22"/>
              </w:rPr>
              <w:t>¿Cree Ud., que la difusión de los documentos normativos, herramientas e instrumentos del SINAGERD en el Sector es el adecuado?</w:t>
            </w:r>
          </w:p>
        </w:tc>
        <w:tc>
          <w:tcPr>
            <w:tcW w:w="336" w:type="dxa"/>
          </w:tcPr>
          <w:p w14:paraId="06AB3903" w14:textId="77777777" w:rsidR="00657D48" w:rsidRDefault="00657D48"/>
        </w:tc>
        <w:tc>
          <w:tcPr>
            <w:tcW w:w="336" w:type="dxa"/>
          </w:tcPr>
          <w:p w14:paraId="71B6EAA0" w14:textId="77777777" w:rsidR="00657D48" w:rsidRDefault="00657D48"/>
        </w:tc>
        <w:tc>
          <w:tcPr>
            <w:tcW w:w="336" w:type="dxa"/>
          </w:tcPr>
          <w:p w14:paraId="1153E15B" w14:textId="77777777" w:rsidR="00657D48" w:rsidRDefault="00657D48"/>
        </w:tc>
        <w:tc>
          <w:tcPr>
            <w:tcW w:w="336" w:type="dxa"/>
          </w:tcPr>
          <w:p w14:paraId="59F922D2" w14:textId="77777777" w:rsidR="00657D48" w:rsidRDefault="00657D48"/>
        </w:tc>
        <w:tc>
          <w:tcPr>
            <w:tcW w:w="336" w:type="dxa"/>
          </w:tcPr>
          <w:p w14:paraId="45B9A60F" w14:textId="77777777" w:rsidR="00657D48" w:rsidRDefault="00657D48"/>
        </w:tc>
      </w:tr>
      <w:tr w:rsidR="00657D48" w14:paraId="1220278F" w14:textId="77777777">
        <w:tc>
          <w:tcPr>
            <w:tcW w:w="6247" w:type="dxa"/>
            <w:vAlign w:val="center"/>
          </w:tcPr>
          <w:p w14:paraId="56088EA4" w14:textId="77777777" w:rsidR="00657D48" w:rsidRDefault="003F3EEB">
            <w:pPr>
              <w:rPr>
                <w:sz w:val="22"/>
                <w:szCs w:val="22"/>
              </w:rPr>
            </w:pPr>
            <w:r>
              <w:rPr>
                <w:sz w:val="22"/>
                <w:szCs w:val="22"/>
              </w:rPr>
              <w:lastRenderedPageBreak/>
              <w:t>¿Considera Ud. que se debería impulsar la difusión de los documentos normativos, herramientas e instrumentos del SINAGERD en el Sector?</w:t>
            </w:r>
          </w:p>
        </w:tc>
        <w:tc>
          <w:tcPr>
            <w:tcW w:w="336" w:type="dxa"/>
          </w:tcPr>
          <w:p w14:paraId="2154FFD3" w14:textId="77777777" w:rsidR="00657D48" w:rsidRDefault="00657D48"/>
        </w:tc>
        <w:tc>
          <w:tcPr>
            <w:tcW w:w="336" w:type="dxa"/>
          </w:tcPr>
          <w:p w14:paraId="54E6F7C0" w14:textId="77777777" w:rsidR="00657D48" w:rsidRDefault="00657D48"/>
        </w:tc>
        <w:tc>
          <w:tcPr>
            <w:tcW w:w="336" w:type="dxa"/>
          </w:tcPr>
          <w:p w14:paraId="3BBB6022" w14:textId="77777777" w:rsidR="00657D48" w:rsidRDefault="00657D48"/>
        </w:tc>
        <w:tc>
          <w:tcPr>
            <w:tcW w:w="336" w:type="dxa"/>
          </w:tcPr>
          <w:p w14:paraId="1E63DAF6" w14:textId="77777777" w:rsidR="00657D48" w:rsidRDefault="00657D48"/>
        </w:tc>
        <w:tc>
          <w:tcPr>
            <w:tcW w:w="336" w:type="dxa"/>
          </w:tcPr>
          <w:p w14:paraId="77D3C457" w14:textId="77777777" w:rsidR="00657D48" w:rsidRDefault="00657D48"/>
        </w:tc>
      </w:tr>
      <w:tr w:rsidR="00657D48" w14:paraId="4663B145" w14:textId="77777777">
        <w:tc>
          <w:tcPr>
            <w:tcW w:w="6247" w:type="dxa"/>
            <w:vAlign w:val="center"/>
          </w:tcPr>
          <w:p w14:paraId="769A466D" w14:textId="77777777" w:rsidR="00657D48" w:rsidRDefault="003F3EEB">
            <w:pPr>
              <w:rPr>
                <w:sz w:val="22"/>
                <w:szCs w:val="22"/>
              </w:rPr>
            </w:pPr>
            <w:r>
              <w:rPr>
                <w:sz w:val="22"/>
                <w:szCs w:val="22"/>
              </w:rPr>
              <w:t>¿Cree Ud., que la difusión de los documentos normativos de GRD del Sector herramientas e instrumentos es el adecuado?</w:t>
            </w:r>
          </w:p>
        </w:tc>
        <w:tc>
          <w:tcPr>
            <w:tcW w:w="336" w:type="dxa"/>
          </w:tcPr>
          <w:p w14:paraId="178CCD9E" w14:textId="77777777" w:rsidR="00657D48" w:rsidRDefault="00657D48"/>
        </w:tc>
        <w:tc>
          <w:tcPr>
            <w:tcW w:w="336" w:type="dxa"/>
          </w:tcPr>
          <w:p w14:paraId="0FB8F05B" w14:textId="77777777" w:rsidR="00657D48" w:rsidRDefault="00657D48"/>
        </w:tc>
        <w:tc>
          <w:tcPr>
            <w:tcW w:w="336" w:type="dxa"/>
          </w:tcPr>
          <w:p w14:paraId="44E99140" w14:textId="77777777" w:rsidR="00657D48" w:rsidRDefault="00657D48"/>
        </w:tc>
        <w:tc>
          <w:tcPr>
            <w:tcW w:w="336" w:type="dxa"/>
          </w:tcPr>
          <w:p w14:paraId="4F7614F2" w14:textId="77777777" w:rsidR="00657D48" w:rsidRDefault="00657D48"/>
        </w:tc>
        <w:tc>
          <w:tcPr>
            <w:tcW w:w="336" w:type="dxa"/>
          </w:tcPr>
          <w:p w14:paraId="000E79CF" w14:textId="77777777" w:rsidR="00657D48" w:rsidRDefault="00657D48"/>
        </w:tc>
      </w:tr>
      <w:tr w:rsidR="00657D48" w14:paraId="5D077807" w14:textId="77777777">
        <w:tc>
          <w:tcPr>
            <w:tcW w:w="6247" w:type="dxa"/>
            <w:vAlign w:val="center"/>
          </w:tcPr>
          <w:p w14:paraId="7994914F" w14:textId="77777777" w:rsidR="00657D48" w:rsidRDefault="003F3EEB">
            <w:pPr>
              <w:rPr>
                <w:sz w:val="22"/>
                <w:szCs w:val="22"/>
              </w:rPr>
            </w:pPr>
            <w:r>
              <w:rPr>
                <w:sz w:val="22"/>
                <w:szCs w:val="22"/>
              </w:rPr>
              <w:t>¿Considera Ud. que se debería impulsar la difusión de los documentos normativos herramientas e instrumentos de GRD en el Sector?</w:t>
            </w:r>
          </w:p>
        </w:tc>
        <w:tc>
          <w:tcPr>
            <w:tcW w:w="336" w:type="dxa"/>
          </w:tcPr>
          <w:p w14:paraId="53978B18" w14:textId="77777777" w:rsidR="00657D48" w:rsidRDefault="00657D48"/>
        </w:tc>
        <w:tc>
          <w:tcPr>
            <w:tcW w:w="336" w:type="dxa"/>
          </w:tcPr>
          <w:p w14:paraId="77BFFA3F" w14:textId="77777777" w:rsidR="00657D48" w:rsidRDefault="00657D48"/>
        </w:tc>
        <w:tc>
          <w:tcPr>
            <w:tcW w:w="336" w:type="dxa"/>
          </w:tcPr>
          <w:p w14:paraId="1AF03D9F" w14:textId="77777777" w:rsidR="00657D48" w:rsidRDefault="00657D48"/>
        </w:tc>
        <w:tc>
          <w:tcPr>
            <w:tcW w:w="336" w:type="dxa"/>
          </w:tcPr>
          <w:p w14:paraId="0D78C49F" w14:textId="77777777" w:rsidR="00657D48" w:rsidRDefault="00657D48"/>
        </w:tc>
        <w:tc>
          <w:tcPr>
            <w:tcW w:w="336" w:type="dxa"/>
          </w:tcPr>
          <w:p w14:paraId="6D1BC2A7" w14:textId="77777777" w:rsidR="00657D48" w:rsidRDefault="00657D48"/>
        </w:tc>
      </w:tr>
      <w:tr w:rsidR="00657D48" w14:paraId="4931D5A4" w14:textId="77777777">
        <w:tc>
          <w:tcPr>
            <w:tcW w:w="6247" w:type="dxa"/>
            <w:vAlign w:val="center"/>
          </w:tcPr>
          <w:p w14:paraId="02948C06" w14:textId="77777777" w:rsidR="00657D48" w:rsidRDefault="003F3EEB">
            <w:pPr>
              <w:rPr>
                <w:sz w:val="22"/>
                <w:szCs w:val="22"/>
              </w:rPr>
            </w:pPr>
            <w:r>
              <w:rPr>
                <w:sz w:val="22"/>
                <w:szCs w:val="22"/>
              </w:rPr>
              <w:t>¿Cree Ud., que participamos activamente de forma trasversal en el SINAGERD?</w:t>
            </w:r>
          </w:p>
        </w:tc>
        <w:tc>
          <w:tcPr>
            <w:tcW w:w="336" w:type="dxa"/>
          </w:tcPr>
          <w:p w14:paraId="17CC6FBD" w14:textId="77777777" w:rsidR="00657D48" w:rsidRDefault="00657D48"/>
        </w:tc>
        <w:tc>
          <w:tcPr>
            <w:tcW w:w="336" w:type="dxa"/>
          </w:tcPr>
          <w:p w14:paraId="18E769ED" w14:textId="77777777" w:rsidR="00657D48" w:rsidRDefault="00657D48"/>
        </w:tc>
        <w:tc>
          <w:tcPr>
            <w:tcW w:w="336" w:type="dxa"/>
          </w:tcPr>
          <w:p w14:paraId="00D75F6D" w14:textId="77777777" w:rsidR="00657D48" w:rsidRDefault="00657D48"/>
        </w:tc>
        <w:tc>
          <w:tcPr>
            <w:tcW w:w="336" w:type="dxa"/>
          </w:tcPr>
          <w:p w14:paraId="61748028" w14:textId="77777777" w:rsidR="00657D48" w:rsidRDefault="00657D48"/>
        </w:tc>
        <w:tc>
          <w:tcPr>
            <w:tcW w:w="336" w:type="dxa"/>
          </w:tcPr>
          <w:p w14:paraId="4D657B23" w14:textId="77777777" w:rsidR="00657D48" w:rsidRDefault="00657D48"/>
        </w:tc>
      </w:tr>
      <w:tr w:rsidR="00657D48" w14:paraId="5C1D5B99" w14:textId="77777777">
        <w:tc>
          <w:tcPr>
            <w:tcW w:w="6247" w:type="dxa"/>
            <w:vAlign w:val="center"/>
          </w:tcPr>
          <w:p w14:paraId="17DDCBF3" w14:textId="77777777" w:rsidR="00657D48" w:rsidRDefault="003F3EEB">
            <w:pPr>
              <w:rPr>
                <w:sz w:val="22"/>
                <w:szCs w:val="22"/>
              </w:rPr>
            </w:pPr>
            <w:r>
              <w:rPr>
                <w:sz w:val="22"/>
                <w:szCs w:val="22"/>
              </w:rPr>
              <w:t>¿Considera Ud. que la participación debe ser más trasversal aprovechando las plataformas de defensa civil?</w:t>
            </w:r>
          </w:p>
        </w:tc>
        <w:tc>
          <w:tcPr>
            <w:tcW w:w="336" w:type="dxa"/>
          </w:tcPr>
          <w:p w14:paraId="32E5D4D0" w14:textId="77777777" w:rsidR="00657D48" w:rsidRDefault="00657D48"/>
        </w:tc>
        <w:tc>
          <w:tcPr>
            <w:tcW w:w="336" w:type="dxa"/>
          </w:tcPr>
          <w:p w14:paraId="3621F77F" w14:textId="77777777" w:rsidR="00657D48" w:rsidRDefault="00657D48"/>
        </w:tc>
        <w:tc>
          <w:tcPr>
            <w:tcW w:w="336" w:type="dxa"/>
          </w:tcPr>
          <w:p w14:paraId="502084FF" w14:textId="77777777" w:rsidR="00657D48" w:rsidRDefault="00657D48"/>
        </w:tc>
        <w:tc>
          <w:tcPr>
            <w:tcW w:w="336" w:type="dxa"/>
          </w:tcPr>
          <w:p w14:paraId="0A9B1DE1" w14:textId="77777777" w:rsidR="00657D48" w:rsidRDefault="00657D48"/>
        </w:tc>
        <w:tc>
          <w:tcPr>
            <w:tcW w:w="336" w:type="dxa"/>
          </w:tcPr>
          <w:p w14:paraId="7BD60226" w14:textId="77777777" w:rsidR="00657D48" w:rsidRDefault="00657D48"/>
        </w:tc>
      </w:tr>
      <w:tr w:rsidR="00657D48" w14:paraId="26876826" w14:textId="77777777">
        <w:tc>
          <w:tcPr>
            <w:tcW w:w="6247" w:type="dxa"/>
            <w:vAlign w:val="center"/>
          </w:tcPr>
          <w:p w14:paraId="6D4FD6B8" w14:textId="77777777" w:rsidR="00657D48" w:rsidRDefault="003F3EEB">
            <w:pPr>
              <w:rPr>
                <w:sz w:val="22"/>
                <w:szCs w:val="22"/>
              </w:rPr>
            </w:pPr>
            <w:r>
              <w:rPr>
                <w:sz w:val="22"/>
                <w:szCs w:val="22"/>
              </w:rPr>
              <w:t>¿Cree Ud., que la implementación de lo establecido en el SINAGERD se desarrolla exclusivamente dentro del esquema militar?</w:t>
            </w:r>
          </w:p>
        </w:tc>
        <w:tc>
          <w:tcPr>
            <w:tcW w:w="336" w:type="dxa"/>
          </w:tcPr>
          <w:p w14:paraId="2AED3E64" w14:textId="77777777" w:rsidR="00657D48" w:rsidRDefault="00657D48"/>
        </w:tc>
        <w:tc>
          <w:tcPr>
            <w:tcW w:w="336" w:type="dxa"/>
          </w:tcPr>
          <w:p w14:paraId="6A7F4B62" w14:textId="77777777" w:rsidR="00657D48" w:rsidRDefault="00657D48"/>
        </w:tc>
        <w:tc>
          <w:tcPr>
            <w:tcW w:w="336" w:type="dxa"/>
          </w:tcPr>
          <w:p w14:paraId="307BCC43" w14:textId="77777777" w:rsidR="00657D48" w:rsidRDefault="00657D48"/>
        </w:tc>
        <w:tc>
          <w:tcPr>
            <w:tcW w:w="336" w:type="dxa"/>
          </w:tcPr>
          <w:p w14:paraId="18580221" w14:textId="77777777" w:rsidR="00657D48" w:rsidRDefault="00657D48"/>
        </w:tc>
        <w:tc>
          <w:tcPr>
            <w:tcW w:w="336" w:type="dxa"/>
          </w:tcPr>
          <w:p w14:paraId="03567306" w14:textId="77777777" w:rsidR="00657D48" w:rsidRDefault="00657D48"/>
        </w:tc>
      </w:tr>
      <w:tr w:rsidR="00657D48" w14:paraId="77358DC7" w14:textId="77777777">
        <w:tc>
          <w:tcPr>
            <w:tcW w:w="6247" w:type="dxa"/>
            <w:vAlign w:val="center"/>
          </w:tcPr>
          <w:p w14:paraId="33B351C6" w14:textId="77777777" w:rsidR="00657D48" w:rsidRDefault="003F3EEB">
            <w:pPr>
              <w:rPr>
                <w:sz w:val="22"/>
                <w:szCs w:val="22"/>
              </w:rPr>
            </w:pPr>
            <w:r>
              <w:rPr>
                <w:sz w:val="22"/>
                <w:szCs w:val="22"/>
              </w:rPr>
              <w:t>¿Considera Ud. que la GRD se debe fortaleces desde el punto de vista multisectorial?</w:t>
            </w:r>
          </w:p>
        </w:tc>
        <w:tc>
          <w:tcPr>
            <w:tcW w:w="336" w:type="dxa"/>
          </w:tcPr>
          <w:p w14:paraId="0154D5DA" w14:textId="77777777" w:rsidR="00657D48" w:rsidRDefault="00657D48"/>
        </w:tc>
        <w:tc>
          <w:tcPr>
            <w:tcW w:w="336" w:type="dxa"/>
          </w:tcPr>
          <w:p w14:paraId="2E9CB329" w14:textId="77777777" w:rsidR="00657D48" w:rsidRDefault="00657D48"/>
        </w:tc>
        <w:tc>
          <w:tcPr>
            <w:tcW w:w="336" w:type="dxa"/>
          </w:tcPr>
          <w:p w14:paraId="4C91F0C1" w14:textId="77777777" w:rsidR="00657D48" w:rsidRDefault="00657D48"/>
        </w:tc>
        <w:tc>
          <w:tcPr>
            <w:tcW w:w="336" w:type="dxa"/>
          </w:tcPr>
          <w:p w14:paraId="15CDFEAF" w14:textId="77777777" w:rsidR="00657D48" w:rsidRDefault="00657D48"/>
        </w:tc>
        <w:tc>
          <w:tcPr>
            <w:tcW w:w="336" w:type="dxa"/>
          </w:tcPr>
          <w:p w14:paraId="1AB04436" w14:textId="77777777" w:rsidR="00657D48" w:rsidRDefault="00657D48"/>
        </w:tc>
      </w:tr>
      <w:tr w:rsidR="00657D48" w14:paraId="1058ED32" w14:textId="77777777">
        <w:tc>
          <w:tcPr>
            <w:tcW w:w="6247" w:type="dxa"/>
            <w:vAlign w:val="center"/>
          </w:tcPr>
          <w:p w14:paraId="5C8CF40B" w14:textId="77777777" w:rsidR="00657D48" w:rsidRDefault="003F3EEB">
            <w:pPr>
              <w:rPr>
                <w:sz w:val="22"/>
                <w:szCs w:val="22"/>
              </w:rPr>
            </w:pPr>
            <w:r>
              <w:rPr>
                <w:sz w:val="22"/>
                <w:szCs w:val="22"/>
              </w:rPr>
              <w:t>¿Cree Ud., que actualmente contamos con capacidades organizacionales, humanas, técnicas y de investigación adecuadas para hacer frente a las emergencias o desastres en el Sector?</w:t>
            </w:r>
          </w:p>
        </w:tc>
        <w:tc>
          <w:tcPr>
            <w:tcW w:w="336" w:type="dxa"/>
          </w:tcPr>
          <w:p w14:paraId="267B2170" w14:textId="77777777" w:rsidR="00657D48" w:rsidRDefault="00657D48"/>
        </w:tc>
        <w:tc>
          <w:tcPr>
            <w:tcW w:w="336" w:type="dxa"/>
          </w:tcPr>
          <w:p w14:paraId="5CBE9E8D" w14:textId="77777777" w:rsidR="00657D48" w:rsidRDefault="00657D48"/>
        </w:tc>
        <w:tc>
          <w:tcPr>
            <w:tcW w:w="336" w:type="dxa"/>
          </w:tcPr>
          <w:p w14:paraId="17D57166" w14:textId="77777777" w:rsidR="00657D48" w:rsidRDefault="00657D48"/>
        </w:tc>
        <w:tc>
          <w:tcPr>
            <w:tcW w:w="336" w:type="dxa"/>
          </w:tcPr>
          <w:p w14:paraId="726C184A" w14:textId="77777777" w:rsidR="00657D48" w:rsidRDefault="00657D48"/>
        </w:tc>
        <w:tc>
          <w:tcPr>
            <w:tcW w:w="336" w:type="dxa"/>
          </w:tcPr>
          <w:p w14:paraId="37ECBE9A" w14:textId="77777777" w:rsidR="00657D48" w:rsidRDefault="00657D48"/>
        </w:tc>
      </w:tr>
      <w:tr w:rsidR="00657D48" w14:paraId="6C93C2A9" w14:textId="77777777">
        <w:tc>
          <w:tcPr>
            <w:tcW w:w="6247" w:type="dxa"/>
            <w:vAlign w:val="center"/>
          </w:tcPr>
          <w:p w14:paraId="3E904313" w14:textId="77777777" w:rsidR="00657D48" w:rsidRDefault="003F3EEB">
            <w:pPr>
              <w:rPr>
                <w:sz w:val="22"/>
                <w:szCs w:val="22"/>
              </w:rPr>
            </w:pPr>
            <w:r>
              <w:rPr>
                <w:sz w:val="22"/>
                <w:szCs w:val="22"/>
              </w:rPr>
              <w:t>¿Considera Ud. que se debe impulsar la gestión para tener mejores capacidades organizacionales, humanas, técnicas y de investigación para hacer frente a las emergencias o desastres en el Sector?</w:t>
            </w:r>
          </w:p>
        </w:tc>
        <w:tc>
          <w:tcPr>
            <w:tcW w:w="336" w:type="dxa"/>
          </w:tcPr>
          <w:p w14:paraId="3F69F450" w14:textId="77777777" w:rsidR="00657D48" w:rsidRDefault="00657D48"/>
        </w:tc>
        <w:tc>
          <w:tcPr>
            <w:tcW w:w="336" w:type="dxa"/>
          </w:tcPr>
          <w:p w14:paraId="5ECE74AE" w14:textId="77777777" w:rsidR="00657D48" w:rsidRDefault="00657D48"/>
        </w:tc>
        <w:tc>
          <w:tcPr>
            <w:tcW w:w="336" w:type="dxa"/>
          </w:tcPr>
          <w:p w14:paraId="315F2C53" w14:textId="77777777" w:rsidR="00657D48" w:rsidRDefault="00657D48"/>
        </w:tc>
        <w:tc>
          <w:tcPr>
            <w:tcW w:w="336" w:type="dxa"/>
          </w:tcPr>
          <w:p w14:paraId="2B344252" w14:textId="77777777" w:rsidR="00657D48" w:rsidRDefault="00657D48"/>
        </w:tc>
        <w:tc>
          <w:tcPr>
            <w:tcW w:w="336" w:type="dxa"/>
          </w:tcPr>
          <w:p w14:paraId="0EE11949" w14:textId="77777777" w:rsidR="00657D48" w:rsidRDefault="00657D48"/>
        </w:tc>
      </w:tr>
      <w:tr w:rsidR="00657D48" w14:paraId="2D1F27ED" w14:textId="77777777">
        <w:tc>
          <w:tcPr>
            <w:tcW w:w="6247" w:type="dxa"/>
            <w:vAlign w:val="center"/>
          </w:tcPr>
          <w:p w14:paraId="7B9FAF9F" w14:textId="77777777" w:rsidR="00657D48" w:rsidRDefault="003F3EEB">
            <w:pPr>
              <w:rPr>
                <w:sz w:val="22"/>
                <w:szCs w:val="22"/>
              </w:rPr>
            </w:pPr>
            <w:r>
              <w:rPr>
                <w:sz w:val="22"/>
                <w:szCs w:val="22"/>
              </w:rPr>
              <w:t>¿Cree Ud., que las FFAA como entidad de primera respuesta cuenta con el equipamiento, personal especializado acorde para hacer frente a las emergencias o desastres?</w:t>
            </w:r>
          </w:p>
        </w:tc>
        <w:tc>
          <w:tcPr>
            <w:tcW w:w="336" w:type="dxa"/>
          </w:tcPr>
          <w:p w14:paraId="38216C0F" w14:textId="77777777" w:rsidR="00657D48" w:rsidRDefault="00657D48"/>
        </w:tc>
        <w:tc>
          <w:tcPr>
            <w:tcW w:w="336" w:type="dxa"/>
          </w:tcPr>
          <w:p w14:paraId="753B5AAE" w14:textId="77777777" w:rsidR="00657D48" w:rsidRDefault="00657D48"/>
        </w:tc>
        <w:tc>
          <w:tcPr>
            <w:tcW w:w="336" w:type="dxa"/>
          </w:tcPr>
          <w:p w14:paraId="0112C03F" w14:textId="77777777" w:rsidR="00657D48" w:rsidRDefault="00657D48"/>
        </w:tc>
        <w:tc>
          <w:tcPr>
            <w:tcW w:w="336" w:type="dxa"/>
          </w:tcPr>
          <w:p w14:paraId="4765EE41" w14:textId="77777777" w:rsidR="00657D48" w:rsidRDefault="00657D48"/>
        </w:tc>
        <w:tc>
          <w:tcPr>
            <w:tcW w:w="336" w:type="dxa"/>
          </w:tcPr>
          <w:p w14:paraId="2C720463" w14:textId="77777777" w:rsidR="00657D48" w:rsidRDefault="00657D48"/>
        </w:tc>
      </w:tr>
      <w:tr w:rsidR="00657D48" w14:paraId="0B75A9DC" w14:textId="77777777">
        <w:tc>
          <w:tcPr>
            <w:tcW w:w="6247" w:type="dxa"/>
            <w:vAlign w:val="center"/>
          </w:tcPr>
          <w:p w14:paraId="1F4B8066" w14:textId="77777777" w:rsidR="00657D48" w:rsidRDefault="003F3EEB">
            <w:pPr>
              <w:rPr>
                <w:sz w:val="22"/>
                <w:szCs w:val="22"/>
              </w:rPr>
            </w:pPr>
            <w:r>
              <w:rPr>
                <w:sz w:val="22"/>
                <w:szCs w:val="22"/>
              </w:rPr>
              <w:t>¿Considera Ud. que las FFAA deben gestionar una organización, equipamiento y entrenamiento tipo UME para hacer frente a las diversas emergencias o desastres que ocurren en nuestro territorio?</w:t>
            </w:r>
          </w:p>
        </w:tc>
        <w:tc>
          <w:tcPr>
            <w:tcW w:w="336" w:type="dxa"/>
          </w:tcPr>
          <w:p w14:paraId="2E897F9B" w14:textId="77777777" w:rsidR="00657D48" w:rsidRDefault="00657D48"/>
        </w:tc>
        <w:tc>
          <w:tcPr>
            <w:tcW w:w="336" w:type="dxa"/>
          </w:tcPr>
          <w:p w14:paraId="6BF119C6" w14:textId="77777777" w:rsidR="00657D48" w:rsidRDefault="00657D48"/>
        </w:tc>
        <w:tc>
          <w:tcPr>
            <w:tcW w:w="336" w:type="dxa"/>
          </w:tcPr>
          <w:p w14:paraId="1B76B12D" w14:textId="77777777" w:rsidR="00657D48" w:rsidRDefault="00657D48"/>
        </w:tc>
        <w:tc>
          <w:tcPr>
            <w:tcW w:w="336" w:type="dxa"/>
          </w:tcPr>
          <w:p w14:paraId="3377C2B9" w14:textId="77777777" w:rsidR="00657D48" w:rsidRDefault="00657D48"/>
        </w:tc>
        <w:tc>
          <w:tcPr>
            <w:tcW w:w="336" w:type="dxa"/>
          </w:tcPr>
          <w:p w14:paraId="1475EF9A" w14:textId="77777777" w:rsidR="00657D48" w:rsidRDefault="00657D48"/>
        </w:tc>
      </w:tr>
      <w:tr w:rsidR="00657D48" w14:paraId="6C20BC50" w14:textId="77777777">
        <w:tc>
          <w:tcPr>
            <w:tcW w:w="6247" w:type="dxa"/>
          </w:tcPr>
          <w:p w14:paraId="3C021844" w14:textId="77777777" w:rsidR="00657D48" w:rsidRDefault="003F3EEB">
            <w:pPr>
              <w:rPr>
                <w:sz w:val="22"/>
                <w:szCs w:val="22"/>
              </w:rPr>
            </w:pPr>
            <w:r>
              <w:rPr>
                <w:sz w:val="22"/>
                <w:szCs w:val="22"/>
              </w:rPr>
              <w:t>¿Cree Ud. que  las normas y lineamientos  para reducir el riesgo existente en el Sector son apropiados?</w:t>
            </w:r>
          </w:p>
        </w:tc>
        <w:tc>
          <w:tcPr>
            <w:tcW w:w="336" w:type="dxa"/>
          </w:tcPr>
          <w:p w14:paraId="3769BD26" w14:textId="77777777" w:rsidR="00657D48" w:rsidRDefault="00657D48"/>
        </w:tc>
        <w:tc>
          <w:tcPr>
            <w:tcW w:w="336" w:type="dxa"/>
          </w:tcPr>
          <w:p w14:paraId="6E8A297A" w14:textId="77777777" w:rsidR="00657D48" w:rsidRDefault="00657D48"/>
        </w:tc>
        <w:tc>
          <w:tcPr>
            <w:tcW w:w="336" w:type="dxa"/>
          </w:tcPr>
          <w:p w14:paraId="456622E2" w14:textId="77777777" w:rsidR="00657D48" w:rsidRDefault="00657D48"/>
        </w:tc>
        <w:tc>
          <w:tcPr>
            <w:tcW w:w="336" w:type="dxa"/>
          </w:tcPr>
          <w:p w14:paraId="7A5511CA" w14:textId="77777777" w:rsidR="00657D48" w:rsidRDefault="00657D48"/>
        </w:tc>
        <w:tc>
          <w:tcPr>
            <w:tcW w:w="336" w:type="dxa"/>
          </w:tcPr>
          <w:p w14:paraId="2C985C7C" w14:textId="77777777" w:rsidR="00657D48" w:rsidRDefault="00657D48"/>
        </w:tc>
      </w:tr>
    </w:tbl>
    <w:p w14:paraId="3EE53CE7" w14:textId="77777777" w:rsidR="00657D48" w:rsidRDefault="00657D48">
      <w:pPr>
        <w:tabs>
          <w:tab w:val="left" w:pos="345"/>
        </w:tabs>
        <w:rPr>
          <w:rFonts w:ascii="Times New Roman" w:eastAsia="Times New Roman" w:hAnsi="Times New Roman" w:cs="Times New Roman"/>
          <w:sz w:val="20"/>
          <w:szCs w:val="20"/>
        </w:rPr>
      </w:pPr>
    </w:p>
    <w:p w14:paraId="7B5E3CDC" w14:textId="77777777" w:rsidR="00657D48" w:rsidRDefault="003F3EEB">
      <w:pPr>
        <w:tabs>
          <w:tab w:val="left" w:pos="345"/>
        </w:tabs>
        <w:rPr>
          <w:rFonts w:ascii="Times New Roman" w:eastAsia="Times New Roman" w:hAnsi="Times New Roman" w:cs="Times New Roman"/>
        </w:rPr>
      </w:pPr>
      <w:r>
        <w:rPr>
          <w:rFonts w:ascii="Times New Roman" w:eastAsia="Times New Roman" w:hAnsi="Times New Roman" w:cs="Times New Roman"/>
        </w:rPr>
        <w:t>Gracias por su colaboración</w:t>
      </w:r>
    </w:p>
    <w:p w14:paraId="6951C70B" w14:textId="77777777" w:rsidR="00657D48" w:rsidRDefault="00657D48">
      <w:pPr>
        <w:tabs>
          <w:tab w:val="left" w:pos="345"/>
        </w:tabs>
        <w:spacing w:after="0"/>
        <w:jc w:val="center"/>
        <w:rPr>
          <w:rFonts w:ascii="Times New Roman" w:eastAsia="Times New Roman" w:hAnsi="Times New Roman" w:cs="Times New Roman"/>
          <w:b/>
        </w:rPr>
      </w:pPr>
    </w:p>
    <w:p w14:paraId="014DEC68" w14:textId="77777777" w:rsidR="00657D48" w:rsidRDefault="00657D48">
      <w:pPr>
        <w:tabs>
          <w:tab w:val="left" w:pos="345"/>
        </w:tabs>
        <w:spacing w:after="0"/>
        <w:jc w:val="center"/>
        <w:rPr>
          <w:rFonts w:ascii="Times New Roman" w:eastAsia="Times New Roman" w:hAnsi="Times New Roman" w:cs="Times New Roman"/>
          <w:b/>
        </w:rPr>
      </w:pPr>
    </w:p>
    <w:p w14:paraId="25730B7A" w14:textId="77777777" w:rsidR="00657D48" w:rsidRDefault="00657D48">
      <w:pPr>
        <w:tabs>
          <w:tab w:val="left" w:pos="345"/>
        </w:tabs>
        <w:spacing w:after="0"/>
        <w:jc w:val="center"/>
        <w:rPr>
          <w:rFonts w:ascii="Times New Roman" w:eastAsia="Times New Roman" w:hAnsi="Times New Roman" w:cs="Times New Roman"/>
          <w:b/>
        </w:rPr>
      </w:pPr>
    </w:p>
    <w:p w14:paraId="498C1BEA" w14:textId="77777777" w:rsidR="00657D48" w:rsidRDefault="00657D48">
      <w:pPr>
        <w:tabs>
          <w:tab w:val="left" w:pos="345"/>
        </w:tabs>
        <w:spacing w:after="0"/>
        <w:jc w:val="center"/>
        <w:rPr>
          <w:rFonts w:ascii="Times New Roman" w:eastAsia="Times New Roman" w:hAnsi="Times New Roman" w:cs="Times New Roman"/>
          <w:b/>
        </w:rPr>
      </w:pPr>
    </w:p>
    <w:p w14:paraId="1F17C81F" w14:textId="77777777" w:rsidR="00657D48" w:rsidRDefault="00657D48">
      <w:pPr>
        <w:tabs>
          <w:tab w:val="left" w:pos="345"/>
        </w:tabs>
        <w:spacing w:after="0"/>
        <w:jc w:val="center"/>
        <w:rPr>
          <w:rFonts w:ascii="Times New Roman" w:eastAsia="Times New Roman" w:hAnsi="Times New Roman" w:cs="Times New Roman"/>
          <w:b/>
        </w:rPr>
      </w:pPr>
    </w:p>
    <w:p w14:paraId="6E6522D4" w14:textId="77777777" w:rsidR="00657D48" w:rsidRDefault="00657D48">
      <w:pPr>
        <w:tabs>
          <w:tab w:val="left" w:pos="345"/>
        </w:tabs>
        <w:spacing w:after="0"/>
        <w:jc w:val="center"/>
        <w:rPr>
          <w:rFonts w:ascii="Times New Roman" w:eastAsia="Times New Roman" w:hAnsi="Times New Roman" w:cs="Times New Roman"/>
          <w:b/>
        </w:rPr>
      </w:pPr>
    </w:p>
    <w:p w14:paraId="38F6097D" w14:textId="77777777" w:rsidR="00657D48" w:rsidRDefault="00657D48">
      <w:pPr>
        <w:tabs>
          <w:tab w:val="left" w:pos="345"/>
        </w:tabs>
        <w:spacing w:after="0"/>
        <w:jc w:val="center"/>
        <w:rPr>
          <w:rFonts w:ascii="Times New Roman" w:eastAsia="Times New Roman" w:hAnsi="Times New Roman" w:cs="Times New Roman"/>
          <w:b/>
        </w:rPr>
      </w:pPr>
    </w:p>
    <w:p w14:paraId="51D6DE98" w14:textId="77777777" w:rsidR="00657D48" w:rsidRDefault="00657D48">
      <w:pPr>
        <w:tabs>
          <w:tab w:val="left" w:pos="345"/>
        </w:tabs>
        <w:spacing w:after="0"/>
        <w:jc w:val="center"/>
        <w:rPr>
          <w:rFonts w:ascii="Times New Roman" w:eastAsia="Times New Roman" w:hAnsi="Times New Roman" w:cs="Times New Roman"/>
          <w:b/>
        </w:rPr>
      </w:pPr>
    </w:p>
    <w:p w14:paraId="3B26536C" w14:textId="77777777" w:rsidR="00657D48" w:rsidRDefault="00657D48">
      <w:pPr>
        <w:tabs>
          <w:tab w:val="left" w:pos="345"/>
        </w:tabs>
        <w:spacing w:after="0"/>
        <w:jc w:val="center"/>
        <w:rPr>
          <w:rFonts w:ascii="Times New Roman" w:eastAsia="Times New Roman" w:hAnsi="Times New Roman" w:cs="Times New Roman"/>
          <w:b/>
        </w:rPr>
      </w:pPr>
    </w:p>
    <w:p w14:paraId="485B26C8" w14:textId="77777777" w:rsidR="00657D48" w:rsidRDefault="00657D48">
      <w:pPr>
        <w:tabs>
          <w:tab w:val="left" w:pos="345"/>
        </w:tabs>
        <w:spacing w:after="0"/>
        <w:jc w:val="center"/>
        <w:rPr>
          <w:rFonts w:ascii="Times New Roman" w:eastAsia="Times New Roman" w:hAnsi="Times New Roman" w:cs="Times New Roman"/>
          <w:b/>
        </w:rPr>
      </w:pPr>
    </w:p>
    <w:p w14:paraId="4AFD0859" w14:textId="7A1A0E5B" w:rsidR="00657D48" w:rsidRDefault="00B35576" w:rsidP="00B35576">
      <w:pPr>
        <w:pStyle w:val="Ttulo1"/>
        <w:rPr>
          <w:b w:val="0"/>
        </w:rPr>
      </w:pPr>
      <w:bookmarkStart w:id="215" w:name="_Toc117518955"/>
      <w:r>
        <w:lastRenderedPageBreak/>
        <w:t xml:space="preserve">Anexo 3: </w:t>
      </w:r>
      <w:r w:rsidR="003F3EEB">
        <w:t>Confiabilidad del instrumento</w:t>
      </w:r>
      <w:bookmarkEnd w:id="215"/>
    </w:p>
    <w:p w14:paraId="68362AE7" w14:textId="77777777" w:rsidR="00657D48" w:rsidRDefault="003F3EEB">
      <w:pPr>
        <w:widowControl w:val="0"/>
        <w:spacing w:after="0"/>
        <w:jc w:val="both"/>
        <w:rPr>
          <w:rFonts w:ascii="Times New Roman" w:eastAsia="Times New Roman" w:hAnsi="Times New Roman" w:cs="Times New Roman"/>
        </w:rPr>
      </w:pPr>
      <w:r>
        <w:rPr>
          <w:rFonts w:ascii="Times New Roman" w:eastAsia="Times New Roman" w:hAnsi="Times New Roman" w:cs="Times New Roman"/>
        </w:rPr>
        <w:t xml:space="preserve">Fórmula del Alfa de crombach: </w:t>
      </w:r>
      <w:r>
        <w:rPr>
          <w:noProof/>
        </w:rPr>
        <w:drawing>
          <wp:anchor distT="0" distB="0" distL="114300" distR="114300" simplePos="0" relativeHeight="251673600" behindDoc="0" locked="0" layoutInCell="1" hidden="0" allowOverlap="1" wp14:anchorId="77D824C4" wp14:editId="3A075B47">
            <wp:simplePos x="0" y="0"/>
            <wp:positionH relativeFrom="column">
              <wp:posOffset>1848111</wp:posOffset>
            </wp:positionH>
            <wp:positionV relativeFrom="paragraph">
              <wp:posOffset>397248</wp:posOffset>
            </wp:positionV>
            <wp:extent cx="1290955" cy="531495"/>
            <wp:effectExtent l="0" t="0" r="0" b="0"/>
            <wp:wrapTopAndBottom distT="0" dist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7"/>
                    <a:srcRect/>
                    <a:stretch>
                      <a:fillRect/>
                    </a:stretch>
                  </pic:blipFill>
                  <pic:spPr>
                    <a:xfrm>
                      <a:off x="0" y="0"/>
                      <a:ext cx="1290955" cy="531495"/>
                    </a:xfrm>
                    <a:prstGeom prst="rect">
                      <a:avLst/>
                    </a:prstGeom>
                    <a:ln/>
                  </pic:spPr>
                </pic:pic>
              </a:graphicData>
            </a:graphic>
          </wp:anchor>
        </w:drawing>
      </w:r>
    </w:p>
    <w:p w14:paraId="0118C154" w14:textId="77777777" w:rsidR="00657D48" w:rsidRDefault="00657D48">
      <w:pPr>
        <w:widowControl w:val="0"/>
        <w:spacing w:after="0"/>
        <w:jc w:val="both"/>
        <w:rPr>
          <w:rFonts w:ascii="Times New Roman" w:eastAsia="Times New Roman" w:hAnsi="Times New Roman" w:cs="Times New Roman"/>
        </w:rPr>
      </w:pPr>
    </w:p>
    <w:p w14:paraId="2DBD6C17" w14:textId="77777777" w:rsidR="00657D48" w:rsidRDefault="003F3EEB">
      <w:pPr>
        <w:widowControl w:val="0"/>
        <w:spacing w:after="0"/>
        <w:jc w:val="both"/>
        <w:rPr>
          <w:rFonts w:ascii="Times New Roman" w:eastAsia="Times New Roman" w:hAnsi="Times New Roman" w:cs="Times New Roman"/>
        </w:rPr>
      </w:pPr>
      <w:r>
        <w:rPr>
          <w:rFonts w:ascii="Times New Roman" w:eastAsia="Times New Roman" w:hAnsi="Times New Roman" w:cs="Times New Roman"/>
        </w:rPr>
        <w:t xml:space="preserve">Resultado SPSS 25: </w:t>
      </w:r>
    </w:p>
    <w:p w14:paraId="56E86727" w14:textId="77777777" w:rsidR="00657D48" w:rsidRDefault="003F3EEB">
      <w:pPr>
        <w:widowControl w:val="0"/>
        <w:spacing w:after="0"/>
        <w:jc w:val="both"/>
        <w:rPr>
          <w:rFonts w:ascii="Times New Roman" w:eastAsia="Times New Roman" w:hAnsi="Times New Roman" w:cs="Times New Roman"/>
        </w:rPr>
      </w:pPr>
      <w:r>
        <w:rPr>
          <w:rFonts w:ascii="Times New Roman" w:eastAsia="Times New Roman" w:hAnsi="Times New Roman" w:cs="Times New Roman"/>
        </w:rPr>
        <w:t>Tabla: Evidencia de fiabilidad del cuestionario de Gestión del Riesgo de Desastres</w:t>
      </w:r>
    </w:p>
    <w:tbl>
      <w:tblPr>
        <w:tblStyle w:val="af6"/>
        <w:tblW w:w="4758" w:type="dxa"/>
        <w:tblInd w:w="0" w:type="dxa"/>
        <w:tblBorders>
          <w:top w:val="single" w:sz="4" w:space="0" w:color="000000"/>
          <w:bottom w:val="single" w:sz="4" w:space="0" w:color="000000"/>
        </w:tblBorders>
        <w:tblLayout w:type="fixed"/>
        <w:tblLook w:val="0000" w:firstRow="0" w:lastRow="0" w:firstColumn="0" w:lastColumn="0" w:noHBand="0" w:noVBand="0"/>
      </w:tblPr>
      <w:tblGrid>
        <w:gridCol w:w="2379"/>
        <w:gridCol w:w="2379"/>
      </w:tblGrid>
      <w:tr w:rsidR="00657D48" w14:paraId="3D18B94F" w14:textId="77777777">
        <w:trPr>
          <w:cantSplit/>
          <w:trHeight w:val="498"/>
        </w:trPr>
        <w:tc>
          <w:tcPr>
            <w:tcW w:w="2379" w:type="dxa"/>
            <w:tcBorders>
              <w:top w:val="single" w:sz="4" w:space="0" w:color="000000"/>
              <w:bottom w:val="single" w:sz="4" w:space="0" w:color="000000"/>
            </w:tcBorders>
            <w:shd w:val="clear" w:color="auto" w:fill="FFFFFF"/>
            <w:vAlign w:val="center"/>
          </w:tcPr>
          <w:p w14:paraId="2CCA1C5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Alfa de Cronbach</w:t>
            </w:r>
          </w:p>
        </w:tc>
        <w:tc>
          <w:tcPr>
            <w:tcW w:w="2379" w:type="dxa"/>
            <w:tcBorders>
              <w:top w:val="single" w:sz="4" w:space="0" w:color="000000"/>
              <w:bottom w:val="single" w:sz="4" w:space="0" w:color="000000"/>
            </w:tcBorders>
            <w:shd w:val="clear" w:color="auto" w:fill="FFFFFF"/>
            <w:vAlign w:val="center"/>
          </w:tcPr>
          <w:p w14:paraId="60AF388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 de elementos</w:t>
            </w:r>
          </w:p>
        </w:tc>
      </w:tr>
      <w:tr w:rsidR="00657D48" w14:paraId="170D7AEA" w14:textId="77777777">
        <w:trPr>
          <w:cantSplit/>
          <w:trHeight w:val="498"/>
        </w:trPr>
        <w:tc>
          <w:tcPr>
            <w:tcW w:w="2379" w:type="dxa"/>
            <w:tcBorders>
              <w:top w:val="single" w:sz="4" w:space="0" w:color="000000"/>
            </w:tcBorders>
            <w:shd w:val="clear" w:color="auto" w:fill="FFFFFF"/>
            <w:vAlign w:val="center"/>
          </w:tcPr>
          <w:p w14:paraId="7889E7DC"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0.938</w:t>
            </w:r>
          </w:p>
        </w:tc>
        <w:tc>
          <w:tcPr>
            <w:tcW w:w="2379" w:type="dxa"/>
            <w:tcBorders>
              <w:top w:val="single" w:sz="4" w:space="0" w:color="000000"/>
            </w:tcBorders>
            <w:shd w:val="clear" w:color="auto" w:fill="FFFFFF"/>
            <w:vAlign w:val="center"/>
          </w:tcPr>
          <w:p w14:paraId="5D90CCC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bl>
    <w:p w14:paraId="7B311D73" w14:textId="77777777" w:rsidR="00657D48" w:rsidRDefault="00657D48">
      <w:pPr>
        <w:spacing w:after="0"/>
        <w:rPr>
          <w:rFonts w:ascii="Times New Roman" w:eastAsia="Times New Roman" w:hAnsi="Times New Roman" w:cs="Times New Roman"/>
        </w:rPr>
      </w:pPr>
    </w:p>
    <w:p w14:paraId="2643B8B1" w14:textId="77777777" w:rsidR="00657D48" w:rsidRDefault="003F3EEB">
      <w:pPr>
        <w:widowControl w:val="0"/>
        <w:spacing w:after="0"/>
        <w:jc w:val="both"/>
        <w:rPr>
          <w:rFonts w:ascii="Times New Roman" w:eastAsia="Times New Roman" w:hAnsi="Times New Roman" w:cs="Times New Roman"/>
        </w:rPr>
      </w:pPr>
      <w:r>
        <w:rPr>
          <w:rFonts w:ascii="Times New Roman" w:eastAsia="Times New Roman" w:hAnsi="Times New Roman" w:cs="Times New Roman"/>
        </w:rPr>
        <w:t>Tabla: Evidencia de fiabilidad del cuestionario de Competencia en el Sector</w:t>
      </w:r>
      <w:r>
        <w:t xml:space="preserve"> </w:t>
      </w:r>
      <w:r>
        <w:rPr>
          <w:rFonts w:ascii="Times New Roman" w:eastAsia="Times New Roman" w:hAnsi="Times New Roman" w:cs="Times New Roman"/>
        </w:rPr>
        <w:t>Defensa</w:t>
      </w:r>
    </w:p>
    <w:tbl>
      <w:tblPr>
        <w:tblStyle w:val="af7"/>
        <w:tblW w:w="4920" w:type="dxa"/>
        <w:tblInd w:w="0" w:type="dxa"/>
        <w:tblBorders>
          <w:top w:val="single" w:sz="4" w:space="0" w:color="000000"/>
          <w:bottom w:val="single" w:sz="4" w:space="0" w:color="000000"/>
        </w:tblBorders>
        <w:tblLayout w:type="fixed"/>
        <w:tblLook w:val="0000" w:firstRow="0" w:lastRow="0" w:firstColumn="0" w:lastColumn="0" w:noHBand="0" w:noVBand="0"/>
      </w:tblPr>
      <w:tblGrid>
        <w:gridCol w:w="2460"/>
        <w:gridCol w:w="2460"/>
      </w:tblGrid>
      <w:tr w:rsidR="00657D48" w14:paraId="77A83523" w14:textId="77777777">
        <w:trPr>
          <w:cantSplit/>
          <w:trHeight w:val="443"/>
        </w:trPr>
        <w:tc>
          <w:tcPr>
            <w:tcW w:w="2460" w:type="dxa"/>
            <w:tcBorders>
              <w:top w:val="single" w:sz="4" w:space="0" w:color="000000"/>
              <w:bottom w:val="single" w:sz="4" w:space="0" w:color="000000"/>
            </w:tcBorders>
            <w:shd w:val="clear" w:color="auto" w:fill="FFFFFF"/>
            <w:vAlign w:val="center"/>
          </w:tcPr>
          <w:p w14:paraId="0F113825"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Alfa de Cronbach</w:t>
            </w:r>
          </w:p>
        </w:tc>
        <w:tc>
          <w:tcPr>
            <w:tcW w:w="2460" w:type="dxa"/>
            <w:tcBorders>
              <w:top w:val="single" w:sz="4" w:space="0" w:color="000000"/>
              <w:bottom w:val="single" w:sz="4" w:space="0" w:color="000000"/>
            </w:tcBorders>
            <w:shd w:val="clear" w:color="auto" w:fill="FFFFFF"/>
            <w:vAlign w:val="center"/>
          </w:tcPr>
          <w:p w14:paraId="22A38EC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 de elementos</w:t>
            </w:r>
          </w:p>
        </w:tc>
      </w:tr>
      <w:tr w:rsidR="00657D48" w14:paraId="41FF5E55" w14:textId="77777777">
        <w:trPr>
          <w:cantSplit/>
          <w:trHeight w:val="638"/>
        </w:trPr>
        <w:tc>
          <w:tcPr>
            <w:tcW w:w="2460" w:type="dxa"/>
            <w:tcBorders>
              <w:top w:val="single" w:sz="4" w:space="0" w:color="000000"/>
            </w:tcBorders>
            <w:shd w:val="clear" w:color="auto" w:fill="FFFFFF"/>
            <w:vAlign w:val="center"/>
          </w:tcPr>
          <w:p w14:paraId="0B0B744F"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0.846</w:t>
            </w:r>
          </w:p>
        </w:tc>
        <w:tc>
          <w:tcPr>
            <w:tcW w:w="2460" w:type="dxa"/>
            <w:tcBorders>
              <w:top w:val="single" w:sz="4" w:space="0" w:color="000000"/>
            </w:tcBorders>
            <w:shd w:val="clear" w:color="auto" w:fill="FFFFFF"/>
            <w:vAlign w:val="center"/>
          </w:tcPr>
          <w:p w14:paraId="5179A01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r>
    </w:tbl>
    <w:p w14:paraId="7CD2C3C2" w14:textId="77777777" w:rsidR="00657D48" w:rsidRDefault="00657D48">
      <w:pPr>
        <w:spacing w:after="0"/>
        <w:rPr>
          <w:rFonts w:ascii="Times New Roman" w:eastAsia="Times New Roman" w:hAnsi="Times New Roman" w:cs="Times New Roman"/>
        </w:rPr>
      </w:pPr>
    </w:p>
    <w:p w14:paraId="3CACE45C" w14:textId="77777777" w:rsidR="00657D48" w:rsidRDefault="003F3EEB">
      <w:pPr>
        <w:spacing w:after="0" w:line="240" w:lineRule="auto"/>
        <w:rPr>
          <w:rFonts w:ascii="Times New Roman" w:eastAsia="Times New Roman" w:hAnsi="Times New Roman" w:cs="Times New Roman"/>
        </w:rPr>
      </w:pPr>
      <w:r>
        <w:rPr>
          <w:rFonts w:ascii="Times New Roman" w:eastAsia="Times New Roman" w:hAnsi="Times New Roman" w:cs="Times New Roman"/>
        </w:rPr>
        <w:t>Tabla: Evidencia de fiabilidad del cuestionario general</w:t>
      </w:r>
    </w:p>
    <w:p w14:paraId="4FC17310" w14:textId="77777777" w:rsidR="00657D48" w:rsidRDefault="00657D48">
      <w:pPr>
        <w:spacing w:after="0" w:line="240" w:lineRule="auto"/>
        <w:rPr>
          <w:rFonts w:ascii="Times New Roman" w:eastAsia="Times New Roman" w:hAnsi="Times New Roman" w:cs="Times New Roman"/>
        </w:rPr>
      </w:pPr>
    </w:p>
    <w:tbl>
      <w:tblPr>
        <w:tblStyle w:val="af8"/>
        <w:tblW w:w="4744" w:type="dxa"/>
        <w:tblInd w:w="0" w:type="dxa"/>
        <w:tblBorders>
          <w:top w:val="single" w:sz="4" w:space="0" w:color="000000"/>
          <w:bottom w:val="single" w:sz="4" w:space="0" w:color="000000"/>
        </w:tblBorders>
        <w:tblLayout w:type="fixed"/>
        <w:tblLook w:val="0000" w:firstRow="0" w:lastRow="0" w:firstColumn="0" w:lastColumn="0" w:noHBand="0" w:noVBand="0"/>
      </w:tblPr>
      <w:tblGrid>
        <w:gridCol w:w="2372"/>
        <w:gridCol w:w="2372"/>
      </w:tblGrid>
      <w:tr w:rsidR="00657D48" w14:paraId="41A85C8E" w14:textId="77777777">
        <w:trPr>
          <w:cantSplit/>
          <w:trHeight w:val="424"/>
        </w:trPr>
        <w:tc>
          <w:tcPr>
            <w:tcW w:w="2372" w:type="dxa"/>
            <w:tcBorders>
              <w:top w:val="single" w:sz="4" w:space="0" w:color="000000"/>
              <w:bottom w:val="single" w:sz="4" w:space="0" w:color="000000"/>
            </w:tcBorders>
            <w:shd w:val="clear" w:color="auto" w:fill="FFFFFF"/>
            <w:vAlign w:val="center"/>
          </w:tcPr>
          <w:p w14:paraId="4B681E41"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Alfa de Cronbach</w:t>
            </w:r>
          </w:p>
        </w:tc>
        <w:tc>
          <w:tcPr>
            <w:tcW w:w="2372" w:type="dxa"/>
            <w:tcBorders>
              <w:top w:val="single" w:sz="4" w:space="0" w:color="000000"/>
              <w:bottom w:val="single" w:sz="4" w:space="0" w:color="000000"/>
            </w:tcBorders>
            <w:shd w:val="clear" w:color="auto" w:fill="FFFFFF"/>
            <w:vAlign w:val="center"/>
          </w:tcPr>
          <w:p w14:paraId="745D7D99"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 de elementos</w:t>
            </w:r>
          </w:p>
        </w:tc>
      </w:tr>
      <w:tr w:rsidR="00657D48" w14:paraId="13E3154B" w14:textId="77777777">
        <w:trPr>
          <w:cantSplit/>
          <w:trHeight w:val="424"/>
        </w:trPr>
        <w:tc>
          <w:tcPr>
            <w:tcW w:w="2372" w:type="dxa"/>
            <w:tcBorders>
              <w:top w:val="single" w:sz="4" w:space="0" w:color="000000"/>
            </w:tcBorders>
            <w:shd w:val="clear" w:color="auto" w:fill="FFFFFF"/>
            <w:vAlign w:val="center"/>
          </w:tcPr>
          <w:p w14:paraId="72F384BB"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0. 948</w:t>
            </w:r>
          </w:p>
        </w:tc>
        <w:tc>
          <w:tcPr>
            <w:tcW w:w="2372" w:type="dxa"/>
            <w:tcBorders>
              <w:top w:val="single" w:sz="4" w:space="0" w:color="000000"/>
            </w:tcBorders>
            <w:shd w:val="clear" w:color="auto" w:fill="FFFFFF"/>
            <w:vAlign w:val="center"/>
          </w:tcPr>
          <w:p w14:paraId="0337EF46" w14:textId="77777777" w:rsidR="00657D48" w:rsidRDefault="003F3EEB">
            <w:pPr>
              <w:spacing w:after="0"/>
              <w:ind w:left="60" w:right="6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r>
    </w:tbl>
    <w:p w14:paraId="09B48EF5" w14:textId="77777777" w:rsidR="00657D48" w:rsidRDefault="00657D48">
      <w:pPr>
        <w:spacing w:after="0"/>
        <w:jc w:val="both"/>
        <w:rPr>
          <w:rFonts w:ascii="Times New Roman" w:eastAsia="Times New Roman" w:hAnsi="Times New Roman" w:cs="Times New Roman"/>
        </w:rPr>
      </w:pPr>
    </w:p>
    <w:p w14:paraId="6EDCF3AA" w14:textId="77777777" w:rsidR="00657D48" w:rsidRDefault="003F3EEB">
      <w:pPr>
        <w:spacing w:after="0"/>
        <w:jc w:val="both"/>
        <w:rPr>
          <w:rFonts w:ascii="Times New Roman" w:eastAsia="Times New Roman" w:hAnsi="Times New Roman" w:cs="Times New Roman"/>
        </w:rPr>
      </w:pPr>
      <w:r>
        <w:rPr>
          <w:rFonts w:ascii="Times New Roman" w:eastAsia="Times New Roman" w:hAnsi="Times New Roman" w:cs="Times New Roman"/>
        </w:rPr>
        <w:t>Como criterio general, Hernández, (2014), lo categoriza de la siguiente forma para evaluar los coeficientes de Alfa de Crombach:</w:t>
      </w:r>
    </w:p>
    <w:tbl>
      <w:tblPr>
        <w:tblStyle w:val="af9"/>
        <w:tblW w:w="477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9"/>
        <w:gridCol w:w="2710"/>
      </w:tblGrid>
      <w:tr w:rsidR="00657D48" w14:paraId="1E48A334" w14:textId="77777777" w:rsidTr="00657D48">
        <w:trPr>
          <w:cnfStyle w:val="100000000000" w:firstRow="1" w:lastRow="0" w:firstColumn="0" w:lastColumn="0" w:oddVBand="0" w:evenVBand="0" w:oddHBand="0"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069" w:type="dxa"/>
            <w:tcBorders>
              <w:top w:val="single" w:sz="4" w:space="0" w:color="000000"/>
              <w:left w:val="nil"/>
              <w:bottom w:val="single" w:sz="4" w:space="0" w:color="000000"/>
              <w:right w:val="nil"/>
            </w:tcBorders>
            <w:shd w:val="clear" w:color="auto" w:fill="FFE599"/>
            <w:vAlign w:val="center"/>
          </w:tcPr>
          <w:p w14:paraId="2D7CB679" w14:textId="77777777" w:rsidR="00657D48" w:rsidRDefault="003F3EEB">
            <w:pPr>
              <w:jc w:val="left"/>
            </w:pPr>
            <w:r>
              <w:t>Coeficiente</w:t>
            </w:r>
          </w:p>
        </w:tc>
        <w:tc>
          <w:tcPr>
            <w:tcW w:w="2710" w:type="dxa"/>
            <w:tcBorders>
              <w:top w:val="single" w:sz="4" w:space="0" w:color="000000"/>
              <w:left w:val="nil"/>
              <w:bottom w:val="single" w:sz="4" w:space="0" w:color="000000"/>
              <w:right w:val="nil"/>
            </w:tcBorders>
            <w:shd w:val="clear" w:color="auto" w:fill="FFE599"/>
            <w:vAlign w:val="center"/>
          </w:tcPr>
          <w:p w14:paraId="24710139" w14:textId="77777777" w:rsidR="00657D48" w:rsidRDefault="003F3EEB">
            <w:pPr>
              <w:jc w:val="left"/>
              <w:cnfStyle w:val="100000000000" w:firstRow="1" w:lastRow="0" w:firstColumn="0" w:lastColumn="0" w:oddVBand="0" w:evenVBand="0" w:oddHBand="0" w:evenHBand="0" w:firstRowFirstColumn="0" w:firstRowLastColumn="0" w:lastRowFirstColumn="0" w:lastRowLastColumn="0"/>
            </w:pPr>
            <w:r>
              <w:t>Categorías</w:t>
            </w:r>
          </w:p>
        </w:tc>
      </w:tr>
      <w:tr w:rsidR="00657D48" w14:paraId="23778137" w14:textId="77777777" w:rsidTr="00657D48">
        <w:trPr>
          <w:cnfStyle w:val="000000100000" w:firstRow="0" w:lastRow="0" w:firstColumn="0" w:lastColumn="0" w:oddVBand="0" w:evenVBand="0" w:oddHBand="1"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2069" w:type="dxa"/>
            <w:tcBorders>
              <w:top w:val="single" w:sz="4" w:space="0" w:color="000000"/>
              <w:left w:val="nil"/>
              <w:bottom w:val="single" w:sz="4" w:space="0" w:color="000000"/>
              <w:right w:val="nil"/>
            </w:tcBorders>
            <w:vAlign w:val="center"/>
          </w:tcPr>
          <w:p w14:paraId="63A9BDE8" w14:textId="77777777" w:rsidR="00657D48" w:rsidRDefault="003F3EEB">
            <w:pPr>
              <w:jc w:val="left"/>
            </w:pPr>
            <w:r>
              <w:rPr>
                <w:b w:val="0"/>
              </w:rPr>
              <w:t>Menor a 0.700</w:t>
            </w:r>
          </w:p>
        </w:tc>
        <w:tc>
          <w:tcPr>
            <w:tcW w:w="2710" w:type="dxa"/>
            <w:tcBorders>
              <w:top w:val="single" w:sz="4" w:space="0" w:color="000000"/>
              <w:left w:val="nil"/>
              <w:bottom w:val="single" w:sz="4" w:space="0" w:color="000000"/>
              <w:right w:val="nil"/>
            </w:tcBorders>
            <w:vAlign w:val="center"/>
          </w:tcPr>
          <w:p w14:paraId="01E75A15" w14:textId="77777777" w:rsidR="00657D48" w:rsidRDefault="003F3EEB">
            <w:pPr>
              <w:jc w:val="left"/>
              <w:cnfStyle w:val="000000100000" w:firstRow="0" w:lastRow="0" w:firstColumn="0" w:lastColumn="0" w:oddVBand="0" w:evenVBand="0" w:oddHBand="1" w:evenHBand="0" w:firstRowFirstColumn="0" w:firstRowLastColumn="0" w:lastRowFirstColumn="0" w:lastRowLastColumn="0"/>
            </w:pPr>
            <w:r>
              <w:t>Confiabilidad baja</w:t>
            </w:r>
          </w:p>
        </w:tc>
      </w:tr>
      <w:tr w:rsidR="00657D48" w14:paraId="278A28A9" w14:textId="77777777" w:rsidTr="00657D48">
        <w:trPr>
          <w:trHeight w:val="542"/>
        </w:trPr>
        <w:tc>
          <w:tcPr>
            <w:cnfStyle w:val="001000000000" w:firstRow="0" w:lastRow="0" w:firstColumn="1" w:lastColumn="0" w:oddVBand="0" w:evenVBand="0" w:oddHBand="0" w:evenHBand="0" w:firstRowFirstColumn="0" w:firstRowLastColumn="0" w:lastRowFirstColumn="0" w:lastRowLastColumn="0"/>
            <w:tcW w:w="2069" w:type="dxa"/>
            <w:tcBorders>
              <w:top w:val="single" w:sz="4" w:space="0" w:color="000000"/>
              <w:left w:val="nil"/>
              <w:bottom w:val="single" w:sz="4" w:space="0" w:color="000000"/>
              <w:right w:val="nil"/>
            </w:tcBorders>
            <w:vAlign w:val="center"/>
          </w:tcPr>
          <w:p w14:paraId="3AA4ED8E" w14:textId="77777777" w:rsidR="00657D48" w:rsidRDefault="003F3EEB">
            <w:pPr>
              <w:jc w:val="left"/>
            </w:pPr>
            <w:r>
              <w:rPr>
                <w:b w:val="0"/>
              </w:rPr>
              <w:t>De 0,70 a 0,90</w:t>
            </w:r>
          </w:p>
        </w:tc>
        <w:tc>
          <w:tcPr>
            <w:tcW w:w="2710" w:type="dxa"/>
            <w:tcBorders>
              <w:top w:val="single" w:sz="4" w:space="0" w:color="000000"/>
              <w:left w:val="nil"/>
              <w:bottom w:val="single" w:sz="4" w:space="0" w:color="000000"/>
              <w:right w:val="nil"/>
            </w:tcBorders>
            <w:vAlign w:val="center"/>
          </w:tcPr>
          <w:p w14:paraId="643A3182" w14:textId="77777777" w:rsidR="00657D48" w:rsidRDefault="003F3EEB">
            <w:pPr>
              <w:jc w:val="left"/>
              <w:cnfStyle w:val="000000000000" w:firstRow="0" w:lastRow="0" w:firstColumn="0" w:lastColumn="0" w:oddVBand="0" w:evenVBand="0" w:oddHBand="0" w:evenHBand="0" w:firstRowFirstColumn="0" w:firstRowLastColumn="0" w:lastRowFirstColumn="0" w:lastRowLastColumn="0"/>
            </w:pPr>
            <w:r>
              <w:t>Confiabilidad aceptable</w:t>
            </w:r>
          </w:p>
        </w:tc>
      </w:tr>
      <w:tr w:rsidR="00657D48" w14:paraId="08BBBFDB" w14:textId="77777777" w:rsidTr="00657D48">
        <w:trPr>
          <w:cnfStyle w:val="000000100000" w:firstRow="0" w:lastRow="0" w:firstColumn="0" w:lastColumn="0" w:oddVBand="0" w:evenVBand="0" w:oddHBand="1"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2069" w:type="dxa"/>
            <w:tcBorders>
              <w:top w:val="single" w:sz="4" w:space="0" w:color="000000"/>
              <w:left w:val="nil"/>
              <w:bottom w:val="single" w:sz="4" w:space="0" w:color="000000"/>
              <w:right w:val="nil"/>
            </w:tcBorders>
            <w:vAlign w:val="center"/>
          </w:tcPr>
          <w:p w14:paraId="7A46AC77" w14:textId="77777777" w:rsidR="00657D48" w:rsidRDefault="003F3EEB">
            <w:pPr>
              <w:jc w:val="left"/>
            </w:pPr>
            <w:r>
              <w:rPr>
                <w:b w:val="0"/>
              </w:rPr>
              <w:t>De 0,900 a 1,000</w:t>
            </w:r>
          </w:p>
        </w:tc>
        <w:tc>
          <w:tcPr>
            <w:tcW w:w="2710" w:type="dxa"/>
            <w:tcBorders>
              <w:top w:val="single" w:sz="4" w:space="0" w:color="000000"/>
              <w:left w:val="nil"/>
              <w:bottom w:val="single" w:sz="4" w:space="0" w:color="000000"/>
              <w:right w:val="nil"/>
            </w:tcBorders>
            <w:vAlign w:val="center"/>
          </w:tcPr>
          <w:p w14:paraId="04533F9B" w14:textId="77777777" w:rsidR="00657D48" w:rsidRDefault="003F3EEB">
            <w:pPr>
              <w:jc w:val="left"/>
              <w:cnfStyle w:val="000000100000" w:firstRow="0" w:lastRow="0" w:firstColumn="0" w:lastColumn="0" w:oddVBand="0" w:evenVBand="0" w:oddHBand="1" w:evenHBand="0" w:firstRowFirstColumn="0" w:firstRowLastColumn="0" w:lastRowFirstColumn="0" w:lastRowLastColumn="0"/>
            </w:pPr>
            <w:r>
              <w:t>Confiabilidad muy buena</w:t>
            </w:r>
          </w:p>
        </w:tc>
      </w:tr>
    </w:tbl>
    <w:p w14:paraId="25BBDDEC" w14:textId="77777777" w:rsidR="00657D48" w:rsidRDefault="00657D48">
      <w:pPr>
        <w:spacing w:after="0"/>
        <w:jc w:val="both"/>
        <w:rPr>
          <w:rFonts w:ascii="Times New Roman" w:eastAsia="Times New Roman" w:hAnsi="Times New Roman" w:cs="Times New Roman"/>
        </w:rPr>
      </w:pPr>
    </w:p>
    <w:p w14:paraId="333D6467" w14:textId="77777777" w:rsidR="00657D48" w:rsidRDefault="00657D48">
      <w:pPr>
        <w:spacing w:after="0"/>
        <w:jc w:val="both"/>
        <w:rPr>
          <w:rFonts w:ascii="Times New Roman" w:eastAsia="Times New Roman" w:hAnsi="Times New Roman" w:cs="Times New Roman"/>
        </w:rPr>
      </w:pPr>
    </w:p>
    <w:p w14:paraId="554189B3" w14:textId="77777777" w:rsidR="00657D48" w:rsidRDefault="00657D48">
      <w:pPr>
        <w:spacing w:after="0"/>
        <w:jc w:val="both"/>
        <w:rPr>
          <w:rFonts w:ascii="Times New Roman" w:eastAsia="Times New Roman" w:hAnsi="Times New Roman" w:cs="Times New Roman"/>
        </w:rPr>
      </w:pPr>
    </w:p>
    <w:p w14:paraId="4E4C8067" w14:textId="77777777" w:rsidR="00657D48" w:rsidRDefault="00657D48">
      <w:pPr>
        <w:spacing w:after="0"/>
        <w:jc w:val="both"/>
        <w:rPr>
          <w:rFonts w:ascii="Times New Roman" w:eastAsia="Times New Roman" w:hAnsi="Times New Roman" w:cs="Times New Roman"/>
        </w:rPr>
      </w:pPr>
    </w:p>
    <w:p w14:paraId="67E6CA3B" w14:textId="77777777" w:rsidR="00657D48" w:rsidRDefault="00657D48">
      <w:pPr>
        <w:spacing w:after="0"/>
        <w:jc w:val="both"/>
        <w:rPr>
          <w:rFonts w:ascii="Times New Roman" w:eastAsia="Times New Roman" w:hAnsi="Times New Roman" w:cs="Times New Roman"/>
        </w:rPr>
        <w:sectPr w:rsidR="00657D48">
          <w:footerReference w:type="default" r:id="rId68"/>
          <w:pgSz w:w="11906" w:h="16838"/>
          <w:pgMar w:top="1701" w:right="1701" w:bottom="1701" w:left="2268" w:header="709" w:footer="709" w:gutter="0"/>
          <w:cols w:space="720"/>
        </w:sectPr>
      </w:pPr>
    </w:p>
    <w:p w14:paraId="1BE918F8" w14:textId="77777777" w:rsidR="00657D48" w:rsidRDefault="003F3EEB">
      <w:pPr>
        <w:pStyle w:val="Ttulo1"/>
      </w:pPr>
      <w:bookmarkStart w:id="216" w:name="_2olpkfy" w:colFirst="0" w:colLast="0"/>
      <w:bookmarkStart w:id="217" w:name="_Toc117518956"/>
      <w:bookmarkEnd w:id="216"/>
      <w:r>
        <w:lastRenderedPageBreak/>
        <w:t>Anexo 4: Informes de validez del instrumento de recolección de datos</w:t>
      </w:r>
      <w:bookmarkEnd w:id="217"/>
    </w:p>
    <w:p w14:paraId="586FAC46" w14:textId="77777777" w:rsidR="00657D48" w:rsidRDefault="003F3EEB">
      <w:pPr>
        <w:jc w:val="center"/>
        <w:rPr>
          <w:rFonts w:ascii="Times New Roman" w:eastAsia="Times New Roman" w:hAnsi="Times New Roman" w:cs="Times New Roman"/>
          <w:b/>
          <w:u w:val="single"/>
        </w:rPr>
      </w:pPr>
      <w:r>
        <w:rPr>
          <w:rFonts w:ascii="Times New Roman" w:eastAsia="Times New Roman" w:hAnsi="Times New Roman" w:cs="Times New Roman"/>
        </w:rPr>
        <w:t xml:space="preserve"> </w:t>
      </w:r>
      <w:r>
        <w:rPr>
          <w:rFonts w:ascii="Times New Roman" w:eastAsia="Times New Roman" w:hAnsi="Times New Roman" w:cs="Times New Roman"/>
          <w:b/>
          <w:u w:val="single"/>
        </w:rPr>
        <w:t>Ficha del Informe de Opinión de Expertos</w:t>
      </w:r>
    </w:p>
    <w:p w14:paraId="4F30CC86" w14:textId="77777777" w:rsidR="00657D48" w:rsidRDefault="003F3EEB">
      <w:pPr>
        <w:spacing w:after="0"/>
        <w:rPr>
          <w:rFonts w:ascii="Times New Roman" w:eastAsia="Times New Roman" w:hAnsi="Times New Roman" w:cs="Times New Roman"/>
          <w:b/>
          <w:sz w:val="22"/>
          <w:szCs w:val="22"/>
        </w:rPr>
      </w:pPr>
      <w:r>
        <w:rPr>
          <w:rFonts w:ascii="Times New Roman" w:eastAsia="Times New Roman" w:hAnsi="Times New Roman" w:cs="Times New Roman"/>
          <w:b/>
          <w:sz w:val="22"/>
          <w:szCs w:val="22"/>
        </w:rPr>
        <w:t>Título de la investigación:</w:t>
      </w:r>
    </w:p>
    <w:p w14:paraId="1E231B61" w14:textId="77777777" w:rsidR="00657D48" w:rsidRDefault="003F3EEB">
      <w:pPr>
        <w:spacing w:after="0"/>
        <w:rPr>
          <w:rFonts w:ascii="Times New Roman" w:eastAsia="Times New Roman" w:hAnsi="Times New Roman" w:cs="Times New Roman"/>
          <w:sz w:val="22"/>
          <w:szCs w:val="22"/>
        </w:rPr>
      </w:pPr>
      <w:r>
        <w:rPr>
          <w:rFonts w:ascii="Times New Roman" w:eastAsia="Times New Roman" w:hAnsi="Times New Roman" w:cs="Times New Roman"/>
          <w:b/>
          <w:sz w:val="22"/>
          <w:szCs w:val="22"/>
        </w:rPr>
        <w:t>Nombre del instrumento:</w:t>
      </w:r>
      <w:r>
        <w:rPr>
          <w:rFonts w:ascii="Times New Roman" w:eastAsia="Times New Roman" w:hAnsi="Times New Roman" w:cs="Times New Roman"/>
          <w:sz w:val="22"/>
          <w:szCs w:val="22"/>
        </w:rPr>
        <w:tab/>
        <w:t>Encuesta</w:t>
      </w:r>
    </w:p>
    <w:p w14:paraId="43DE24E4" w14:textId="77777777" w:rsidR="00657D48" w:rsidRDefault="003F3EEB">
      <w:pPr>
        <w:numPr>
          <w:ilvl w:val="0"/>
          <w:numId w:val="10"/>
        </w:numPr>
        <w:pBdr>
          <w:top w:val="nil"/>
          <w:left w:val="nil"/>
          <w:bottom w:val="nil"/>
          <w:right w:val="nil"/>
          <w:between w:val="nil"/>
        </w:pBdr>
        <w:spacing w:after="0" w:line="240" w:lineRule="auto"/>
        <w:ind w:left="284" w:hanging="295"/>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DATOS DEL INFORMANTE:</w:t>
      </w:r>
    </w:p>
    <w:p w14:paraId="3C3A11B3" w14:textId="77777777" w:rsidR="00657D48" w:rsidRDefault="00657D48">
      <w:pPr>
        <w:pBdr>
          <w:top w:val="nil"/>
          <w:left w:val="nil"/>
          <w:bottom w:val="nil"/>
          <w:right w:val="nil"/>
          <w:between w:val="nil"/>
        </w:pBdr>
        <w:spacing w:after="0" w:line="240" w:lineRule="auto"/>
        <w:ind w:left="284" w:hanging="295"/>
        <w:rPr>
          <w:rFonts w:ascii="Times New Roman" w:eastAsia="Times New Roman" w:hAnsi="Times New Roman" w:cs="Times New Roman"/>
          <w:b/>
          <w:color w:val="000000"/>
          <w:sz w:val="22"/>
          <w:szCs w:val="22"/>
        </w:rPr>
      </w:pPr>
    </w:p>
    <w:p w14:paraId="1AC5D5D3" w14:textId="77777777" w:rsidR="00657D48" w:rsidRDefault="003F3EEB">
      <w:pPr>
        <w:numPr>
          <w:ilvl w:val="1"/>
          <w:numId w:val="10"/>
        </w:numPr>
        <w:pBdr>
          <w:top w:val="nil"/>
          <w:left w:val="nil"/>
          <w:bottom w:val="nil"/>
          <w:right w:val="nil"/>
          <w:between w:val="nil"/>
        </w:pBdr>
        <w:spacing w:after="0"/>
        <w:ind w:left="709" w:hanging="437"/>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Apellidos y nombres: Linda Guiomar Zilbert Soto</w:t>
      </w:r>
    </w:p>
    <w:p w14:paraId="32A8B24E" w14:textId="77777777" w:rsidR="00657D48" w:rsidRDefault="003F3EEB">
      <w:pPr>
        <w:numPr>
          <w:ilvl w:val="1"/>
          <w:numId w:val="10"/>
        </w:numPr>
        <w:pBdr>
          <w:top w:val="nil"/>
          <w:left w:val="nil"/>
          <w:bottom w:val="nil"/>
          <w:right w:val="nil"/>
          <w:between w:val="nil"/>
        </w:pBdr>
        <w:spacing w:after="0" w:line="240" w:lineRule="auto"/>
        <w:ind w:left="709" w:hanging="437"/>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Cargo e institución donde labora: Especialista en recuperación post desastres y Gestión del Riesgo de Desastres, PNUD </w:t>
      </w:r>
    </w:p>
    <w:p w14:paraId="0CCD2C16" w14:textId="77777777" w:rsidR="00657D48" w:rsidRDefault="00657D48">
      <w:pPr>
        <w:pBdr>
          <w:top w:val="nil"/>
          <w:left w:val="nil"/>
          <w:bottom w:val="nil"/>
          <w:right w:val="nil"/>
          <w:between w:val="nil"/>
        </w:pBdr>
        <w:spacing w:after="0" w:line="240" w:lineRule="auto"/>
        <w:ind w:left="284" w:hanging="295"/>
        <w:rPr>
          <w:rFonts w:ascii="Times New Roman" w:eastAsia="Times New Roman" w:hAnsi="Times New Roman" w:cs="Times New Roman"/>
          <w:color w:val="000000"/>
          <w:sz w:val="22"/>
          <w:szCs w:val="22"/>
        </w:rPr>
      </w:pPr>
    </w:p>
    <w:p w14:paraId="362101FD" w14:textId="77777777" w:rsidR="00657D48" w:rsidRDefault="003F3EEB">
      <w:pPr>
        <w:numPr>
          <w:ilvl w:val="0"/>
          <w:numId w:val="10"/>
        </w:numPr>
        <w:pBdr>
          <w:top w:val="nil"/>
          <w:left w:val="nil"/>
          <w:bottom w:val="nil"/>
          <w:right w:val="nil"/>
          <w:between w:val="nil"/>
        </w:pBdr>
        <w:spacing w:after="0" w:line="240" w:lineRule="auto"/>
        <w:ind w:left="284" w:hanging="295"/>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DATOS DEL TESISTA:</w:t>
      </w:r>
    </w:p>
    <w:p w14:paraId="2B561104" w14:textId="77777777" w:rsidR="00657D48" w:rsidRDefault="00657D48">
      <w:pPr>
        <w:pBdr>
          <w:top w:val="nil"/>
          <w:left w:val="nil"/>
          <w:bottom w:val="nil"/>
          <w:right w:val="nil"/>
          <w:between w:val="nil"/>
        </w:pBdr>
        <w:spacing w:after="0" w:line="240" w:lineRule="auto"/>
        <w:ind w:left="284" w:hanging="295"/>
        <w:rPr>
          <w:rFonts w:ascii="Times New Roman" w:eastAsia="Times New Roman" w:hAnsi="Times New Roman" w:cs="Times New Roman"/>
          <w:b/>
          <w:color w:val="000000"/>
          <w:sz w:val="22"/>
          <w:szCs w:val="22"/>
        </w:rPr>
      </w:pPr>
    </w:p>
    <w:p w14:paraId="1FD79295" w14:textId="77777777" w:rsidR="00657D48" w:rsidRDefault="003F3EEB">
      <w:pPr>
        <w:numPr>
          <w:ilvl w:val="1"/>
          <w:numId w:val="12"/>
        </w:numPr>
        <w:pBdr>
          <w:top w:val="nil"/>
          <w:left w:val="nil"/>
          <w:bottom w:val="nil"/>
          <w:right w:val="nil"/>
          <w:between w:val="nil"/>
        </w:pBdr>
        <w:spacing w:after="0"/>
        <w:ind w:left="567" w:hanging="295"/>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Apellidos y nombres: Gonzales Lara Miguel Antonio</w:t>
      </w:r>
    </w:p>
    <w:p w14:paraId="2C1F2696" w14:textId="77777777" w:rsidR="00657D48" w:rsidRDefault="003F3EEB">
      <w:pPr>
        <w:numPr>
          <w:ilvl w:val="1"/>
          <w:numId w:val="12"/>
        </w:numPr>
        <w:pBdr>
          <w:top w:val="nil"/>
          <w:left w:val="nil"/>
          <w:bottom w:val="nil"/>
          <w:right w:val="nil"/>
          <w:between w:val="nil"/>
        </w:pBdr>
        <w:spacing w:after="0" w:line="240" w:lineRule="auto"/>
        <w:ind w:left="567" w:hanging="295"/>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Maestría: II Maestría en GRD</w:t>
      </w:r>
    </w:p>
    <w:p w14:paraId="421814C5" w14:textId="77777777" w:rsidR="00657D48" w:rsidRDefault="00657D48">
      <w:pPr>
        <w:pBdr>
          <w:top w:val="nil"/>
          <w:left w:val="nil"/>
          <w:bottom w:val="nil"/>
          <w:right w:val="nil"/>
          <w:between w:val="nil"/>
        </w:pBdr>
        <w:spacing w:after="0" w:line="240" w:lineRule="auto"/>
        <w:ind w:left="1800"/>
        <w:rPr>
          <w:rFonts w:ascii="Times New Roman" w:eastAsia="Times New Roman" w:hAnsi="Times New Roman" w:cs="Times New Roman"/>
          <w:color w:val="000000"/>
          <w:sz w:val="22"/>
          <w:szCs w:val="22"/>
        </w:rPr>
      </w:pPr>
    </w:p>
    <w:p w14:paraId="30E19FF6" w14:textId="77777777" w:rsidR="00657D48" w:rsidRDefault="003F3EEB">
      <w:pPr>
        <w:numPr>
          <w:ilvl w:val="0"/>
          <w:numId w:val="10"/>
        </w:numPr>
        <w:pBdr>
          <w:top w:val="nil"/>
          <w:left w:val="nil"/>
          <w:bottom w:val="nil"/>
          <w:right w:val="nil"/>
          <w:between w:val="nil"/>
        </w:pBdr>
        <w:spacing w:after="0"/>
        <w:ind w:left="426" w:hanging="426"/>
        <w:rPr>
          <w:rFonts w:ascii="Times New Roman" w:eastAsia="Times New Roman" w:hAnsi="Times New Roman" w:cs="Times New Roman"/>
          <w:b/>
          <w:color w:val="000000"/>
        </w:rPr>
      </w:pPr>
      <w:r>
        <w:rPr>
          <w:rFonts w:ascii="Times New Roman" w:eastAsia="Times New Roman" w:hAnsi="Times New Roman" w:cs="Times New Roman"/>
          <w:b/>
          <w:color w:val="000000"/>
          <w:sz w:val="22"/>
          <w:szCs w:val="22"/>
        </w:rPr>
        <w:t>ASPECTOS DE VALIDACIÓN</w:t>
      </w:r>
      <w:r>
        <w:rPr>
          <w:rFonts w:ascii="Times New Roman" w:eastAsia="Times New Roman" w:hAnsi="Times New Roman" w:cs="Times New Roman"/>
          <w:b/>
          <w:color w:val="000000"/>
        </w:rPr>
        <w:t>:</w:t>
      </w:r>
    </w:p>
    <w:tbl>
      <w:tblPr>
        <w:tblStyle w:val="afa"/>
        <w:tblW w:w="8484"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5"/>
        <w:gridCol w:w="2268"/>
        <w:gridCol w:w="850"/>
        <w:gridCol w:w="709"/>
        <w:gridCol w:w="851"/>
        <w:gridCol w:w="919"/>
        <w:gridCol w:w="902"/>
      </w:tblGrid>
      <w:tr w:rsidR="00657D48" w14:paraId="1E5D550E" w14:textId="77777777">
        <w:trPr>
          <w:trHeight w:val="529"/>
        </w:trPr>
        <w:tc>
          <w:tcPr>
            <w:tcW w:w="1985" w:type="dxa"/>
            <w:shd w:val="clear" w:color="auto" w:fill="D9D9D9"/>
            <w:vAlign w:val="center"/>
          </w:tcPr>
          <w:p w14:paraId="5AC26467"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INDICADORES</w:t>
            </w:r>
          </w:p>
        </w:tc>
        <w:tc>
          <w:tcPr>
            <w:tcW w:w="2268" w:type="dxa"/>
            <w:shd w:val="clear" w:color="auto" w:fill="D9D9D9"/>
            <w:vAlign w:val="center"/>
          </w:tcPr>
          <w:p w14:paraId="6E929A8F"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CRITERIOS</w:t>
            </w:r>
          </w:p>
        </w:tc>
        <w:tc>
          <w:tcPr>
            <w:tcW w:w="850" w:type="dxa"/>
            <w:shd w:val="clear" w:color="auto" w:fill="D9D9D9"/>
            <w:vAlign w:val="center"/>
          </w:tcPr>
          <w:p w14:paraId="0940434F" w14:textId="77777777" w:rsidR="00657D48" w:rsidRDefault="003F3EEB">
            <w:pPr>
              <w:pBdr>
                <w:top w:val="nil"/>
                <w:left w:val="nil"/>
                <w:bottom w:val="nil"/>
                <w:right w:val="nil"/>
                <w:between w:val="nil"/>
              </w:pBdr>
              <w:spacing w:line="360" w:lineRule="auto"/>
              <w:jc w:val="center"/>
              <w:rPr>
                <w:b/>
                <w:color w:val="000000"/>
                <w:sz w:val="14"/>
                <w:szCs w:val="14"/>
              </w:rPr>
            </w:pPr>
            <w:r>
              <w:rPr>
                <w:b/>
                <w:color w:val="000000"/>
                <w:sz w:val="14"/>
                <w:szCs w:val="14"/>
              </w:rPr>
              <w:t>Deficiente</w:t>
            </w:r>
          </w:p>
          <w:p w14:paraId="0162DBC9" w14:textId="77777777" w:rsidR="00657D48" w:rsidRDefault="003F3EEB">
            <w:pPr>
              <w:pBdr>
                <w:top w:val="nil"/>
                <w:left w:val="nil"/>
                <w:bottom w:val="nil"/>
                <w:right w:val="nil"/>
                <w:between w:val="nil"/>
              </w:pBdr>
              <w:spacing w:after="240" w:line="360" w:lineRule="auto"/>
              <w:jc w:val="center"/>
              <w:rPr>
                <w:b/>
                <w:color w:val="000000"/>
                <w:sz w:val="14"/>
                <w:szCs w:val="14"/>
              </w:rPr>
            </w:pPr>
            <w:r>
              <w:rPr>
                <w:b/>
                <w:color w:val="000000"/>
                <w:sz w:val="14"/>
                <w:szCs w:val="14"/>
              </w:rPr>
              <w:t>0-30%</w:t>
            </w:r>
          </w:p>
        </w:tc>
        <w:tc>
          <w:tcPr>
            <w:tcW w:w="709" w:type="dxa"/>
            <w:shd w:val="clear" w:color="auto" w:fill="D9D9D9"/>
            <w:vAlign w:val="center"/>
          </w:tcPr>
          <w:p w14:paraId="48965655" w14:textId="77777777" w:rsidR="00657D48" w:rsidRDefault="003F3EEB">
            <w:pPr>
              <w:pBdr>
                <w:top w:val="nil"/>
                <w:left w:val="nil"/>
                <w:bottom w:val="nil"/>
                <w:right w:val="nil"/>
                <w:between w:val="nil"/>
              </w:pBdr>
              <w:spacing w:line="360" w:lineRule="auto"/>
              <w:jc w:val="center"/>
              <w:rPr>
                <w:b/>
                <w:color w:val="000000"/>
                <w:sz w:val="14"/>
                <w:szCs w:val="14"/>
              </w:rPr>
            </w:pPr>
            <w:r>
              <w:rPr>
                <w:b/>
                <w:color w:val="000000"/>
                <w:sz w:val="14"/>
                <w:szCs w:val="14"/>
              </w:rPr>
              <w:t>Regular</w:t>
            </w:r>
          </w:p>
          <w:p w14:paraId="4A7ACA14" w14:textId="77777777" w:rsidR="00657D48" w:rsidRDefault="003F3EEB">
            <w:pPr>
              <w:pBdr>
                <w:top w:val="nil"/>
                <w:left w:val="nil"/>
                <w:bottom w:val="nil"/>
                <w:right w:val="nil"/>
                <w:between w:val="nil"/>
              </w:pBdr>
              <w:spacing w:after="240" w:line="360" w:lineRule="auto"/>
              <w:jc w:val="center"/>
              <w:rPr>
                <w:b/>
                <w:color w:val="000000"/>
                <w:sz w:val="14"/>
                <w:szCs w:val="14"/>
              </w:rPr>
            </w:pPr>
            <w:r>
              <w:rPr>
                <w:b/>
                <w:color w:val="000000"/>
                <w:sz w:val="14"/>
                <w:szCs w:val="14"/>
              </w:rPr>
              <w:t>31-50%</w:t>
            </w:r>
          </w:p>
        </w:tc>
        <w:tc>
          <w:tcPr>
            <w:tcW w:w="851" w:type="dxa"/>
            <w:shd w:val="clear" w:color="auto" w:fill="D9D9D9"/>
            <w:vAlign w:val="center"/>
          </w:tcPr>
          <w:p w14:paraId="63A74658" w14:textId="77777777" w:rsidR="00657D48" w:rsidRDefault="003F3EEB">
            <w:pPr>
              <w:pBdr>
                <w:top w:val="nil"/>
                <w:left w:val="nil"/>
                <w:bottom w:val="nil"/>
                <w:right w:val="nil"/>
                <w:between w:val="nil"/>
              </w:pBdr>
              <w:spacing w:line="360" w:lineRule="auto"/>
              <w:jc w:val="center"/>
              <w:rPr>
                <w:b/>
                <w:color w:val="000000"/>
                <w:sz w:val="14"/>
                <w:szCs w:val="14"/>
              </w:rPr>
            </w:pPr>
            <w:r>
              <w:rPr>
                <w:b/>
                <w:color w:val="000000"/>
                <w:sz w:val="14"/>
                <w:szCs w:val="14"/>
              </w:rPr>
              <w:t>Buena</w:t>
            </w:r>
          </w:p>
          <w:p w14:paraId="23427915" w14:textId="77777777" w:rsidR="00657D48" w:rsidRDefault="003F3EEB">
            <w:pPr>
              <w:pBdr>
                <w:top w:val="nil"/>
                <w:left w:val="nil"/>
                <w:bottom w:val="nil"/>
                <w:right w:val="nil"/>
                <w:between w:val="nil"/>
              </w:pBdr>
              <w:spacing w:after="240" w:line="360" w:lineRule="auto"/>
              <w:jc w:val="center"/>
              <w:rPr>
                <w:b/>
                <w:color w:val="000000"/>
                <w:sz w:val="14"/>
                <w:szCs w:val="14"/>
              </w:rPr>
            </w:pPr>
            <w:r>
              <w:rPr>
                <w:b/>
                <w:color w:val="000000"/>
                <w:sz w:val="14"/>
                <w:szCs w:val="14"/>
              </w:rPr>
              <w:t>51-70%</w:t>
            </w:r>
          </w:p>
        </w:tc>
        <w:tc>
          <w:tcPr>
            <w:tcW w:w="919" w:type="dxa"/>
            <w:shd w:val="clear" w:color="auto" w:fill="D9D9D9"/>
            <w:vAlign w:val="center"/>
          </w:tcPr>
          <w:p w14:paraId="482BEFAC" w14:textId="77777777" w:rsidR="00657D48" w:rsidRDefault="003F3EEB">
            <w:pPr>
              <w:pBdr>
                <w:top w:val="nil"/>
                <w:left w:val="nil"/>
                <w:bottom w:val="nil"/>
                <w:right w:val="nil"/>
                <w:between w:val="nil"/>
              </w:pBdr>
              <w:spacing w:line="360" w:lineRule="auto"/>
              <w:jc w:val="center"/>
              <w:rPr>
                <w:b/>
                <w:color w:val="000000"/>
                <w:sz w:val="14"/>
                <w:szCs w:val="14"/>
              </w:rPr>
            </w:pPr>
            <w:r>
              <w:rPr>
                <w:b/>
                <w:color w:val="000000"/>
                <w:sz w:val="14"/>
                <w:szCs w:val="14"/>
              </w:rPr>
              <w:t xml:space="preserve">Muy buena </w:t>
            </w:r>
          </w:p>
          <w:p w14:paraId="5896798B" w14:textId="77777777" w:rsidR="00657D48" w:rsidRDefault="003F3EEB">
            <w:pPr>
              <w:pBdr>
                <w:top w:val="nil"/>
                <w:left w:val="nil"/>
                <w:bottom w:val="nil"/>
                <w:right w:val="nil"/>
                <w:between w:val="nil"/>
              </w:pBdr>
              <w:spacing w:after="240" w:line="360" w:lineRule="auto"/>
              <w:jc w:val="center"/>
              <w:rPr>
                <w:b/>
                <w:color w:val="000000"/>
                <w:sz w:val="14"/>
                <w:szCs w:val="14"/>
              </w:rPr>
            </w:pPr>
            <w:r>
              <w:rPr>
                <w:b/>
                <w:color w:val="000000"/>
                <w:sz w:val="14"/>
                <w:szCs w:val="14"/>
              </w:rPr>
              <w:t>71-90%</w:t>
            </w:r>
          </w:p>
        </w:tc>
        <w:tc>
          <w:tcPr>
            <w:tcW w:w="902" w:type="dxa"/>
            <w:shd w:val="clear" w:color="auto" w:fill="D9D9D9"/>
            <w:vAlign w:val="center"/>
          </w:tcPr>
          <w:p w14:paraId="1FC19E18" w14:textId="77777777" w:rsidR="00657D48" w:rsidRDefault="003F3EEB">
            <w:pPr>
              <w:pBdr>
                <w:top w:val="nil"/>
                <w:left w:val="nil"/>
                <w:bottom w:val="nil"/>
                <w:right w:val="nil"/>
                <w:between w:val="nil"/>
              </w:pBdr>
              <w:spacing w:line="360" w:lineRule="auto"/>
              <w:jc w:val="center"/>
              <w:rPr>
                <w:b/>
                <w:color w:val="000000"/>
                <w:sz w:val="14"/>
                <w:szCs w:val="14"/>
              </w:rPr>
            </w:pPr>
            <w:r>
              <w:rPr>
                <w:b/>
                <w:color w:val="000000"/>
                <w:sz w:val="14"/>
                <w:szCs w:val="14"/>
              </w:rPr>
              <w:t>Excelente</w:t>
            </w:r>
          </w:p>
          <w:p w14:paraId="61DAB4F7" w14:textId="77777777" w:rsidR="00657D48" w:rsidRDefault="003F3EEB">
            <w:pPr>
              <w:pBdr>
                <w:top w:val="nil"/>
                <w:left w:val="nil"/>
                <w:bottom w:val="nil"/>
                <w:right w:val="nil"/>
                <w:between w:val="nil"/>
              </w:pBdr>
              <w:spacing w:after="240" w:line="360" w:lineRule="auto"/>
              <w:jc w:val="center"/>
              <w:rPr>
                <w:b/>
                <w:color w:val="000000"/>
                <w:sz w:val="14"/>
                <w:szCs w:val="14"/>
              </w:rPr>
            </w:pPr>
            <w:r>
              <w:rPr>
                <w:b/>
                <w:color w:val="000000"/>
                <w:sz w:val="14"/>
                <w:szCs w:val="14"/>
              </w:rPr>
              <w:t>91-100%</w:t>
            </w:r>
          </w:p>
        </w:tc>
      </w:tr>
      <w:tr w:rsidR="00657D48" w14:paraId="3685D796" w14:textId="77777777">
        <w:trPr>
          <w:trHeight w:val="216"/>
        </w:trPr>
        <w:tc>
          <w:tcPr>
            <w:tcW w:w="1985" w:type="dxa"/>
            <w:vAlign w:val="center"/>
          </w:tcPr>
          <w:p w14:paraId="7D94AE15"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CLARIDAD</w:t>
            </w:r>
          </w:p>
        </w:tc>
        <w:tc>
          <w:tcPr>
            <w:tcW w:w="2268" w:type="dxa"/>
            <w:vAlign w:val="center"/>
          </w:tcPr>
          <w:p w14:paraId="4BE75E14"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Esta formulado con lenguaje apropiado.</w:t>
            </w:r>
          </w:p>
        </w:tc>
        <w:tc>
          <w:tcPr>
            <w:tcW w:w="850" w:type="dxa"/>
          </w:tcPr>
          <w:p w14:paraId="06110840"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567630B4"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0F373EBD"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556E87DD"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85%</w:t>
            </w:r>
          </w:p>
        </w:tc>
        <w:tc>
          <w:tcPr>
            <w:tcW w:w="902" w:type="dxa"/>
            <w:vAlign w:val="center"/>
          </w:tcPr>
          <w:p w14:paraId="0C5F13C3" w14:textId="77777777" w:rsidR="00657D48" w:rsidRDefault="00657D48">
            <w:pPr>
              <w:pBdr>
                <w:top w:val="nil"/>
                <w:left w:val="nil"/>
                <w:bottom w:val="nil"/>
                <w:right w:val="nil"/>
                <w:between w:val="nil"/>
              </w:pBdr>
              <w:spacing w:after="240" w:line="360" w:lineRule="auto"/>
              <w:jc w:val="center"/>
              <w:rPr>
                <w:color w:val="000000"/>
                <w:sz w:val="18"/>
                <w:szCs w:val="18"/>
              </w:rPr>
            </w:pPr>
          </w:p>
        </w:tc>
      </w:tr>
      <w:tr w:rsidR="00657D48" w14:paraId="555EECA8" w14:textId="77777777">
        <w:trPr>
          <w:trHeight w:val="348"/>
        </w:trPr>
        <w:tc>
          <w:tcPr>
            <w:tcW w:w="1985" w:type="dxa"/>
            <w:vAlign w:val="center"/>
          </w:tcPr>
          <w:p w14:paraId="47AC74BA"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OBJETIVIDAD</w:t>
            </w:r>
          </w:p>
        </w:tc>
        <w:tc>
          <w:tcPr>
            <w:tcW w:w="2268" w:type="dxa"/>
            <w:vAlign w:val="center"/>
          </w:tcPr>
          <w:p w14:paraId="3E06D83D"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Esta expresado en conductas observables.</w:t>
            </w:r>
          </w:p>
        </w:tc>
        <w:tc>
          <w:tcPr>
            <w:tcW w:w="850" w:type="dxa"/>
          </w:tcPr>
          <w:p w14:paraId="27A27FBE"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200B5EDD"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6F42F8A8"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774A43F5"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90%</w:t>
            </w:r>
          </w:p>
        </w:tc>
        <w:tc>
          <w:tcPr>
            <w:tcW w:w="902" w:type="dxa"/>
            <w:vAlign w:val="center"/>
          </w:tcPr>
          <w:p w14:paraId="771E02D0" w14:textId="77777777" w:rsidR="00657D48" w:rsidRDefault="00657D48">
            <w:pPr>
              <w:pBdr>
                <w:top w:val="nil"/>
                <w:left w:val="nil"/>
                <w:bottom w:val="nil"/>
                <w:right w:val="nil"/>
                <w:between w:val="nil"/>
              </w:pBdr>
              <w:spacing w:after="240" w:line="360" w:lineRule="auto"/>
              <w:jc w:val="center"/>
              <w:rPr>
                <w:color w:val="000000"/>
                <w:sz w:val="18"/>
                <w:szCs w:val="18"/>
              </w:rPr>
            </w:pPr>
          </w:p>
        </w:tc>
      </w:tr>
      <w:tr w:rsidR="00657D48" w14:paraId="5A2CE703" w14:textId="77777777">
        <w:trPr>
          <w:trHeight w:val="348"/>
        </w:trPr>
        <w:tc>
          <w:tcPr>
            <w:tcW w:w="1985" w:type="dxa"/>
            <w:vAlign w:val="center"/>
          </w:tcPr>
          <w:p w14:paraId="35A9D60E"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ACTUALIDAD</w:t>
            </w:r>
          </w:p>
        </w:tc>
        <w:tc>
          <w:tcPr>
            <w:tcW w:w="2268" w:type="dxa"/>
            <w:vAlign w:val="center"/>
          </w:tcPr>
          <w:p w14:paraId="4F859593"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Adecuado al avance de la ciencia y tecnología.</w:t>
            </w:r>
          </w:p>
        </w:tc>
        <w:tc>
          <w:tcPr>
            <w:tcW w:w="850" w:type="dxa"/>
          </w:tcPr>
          <w:p w14:paraId="52C814F9"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60D975DD"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118B7E39"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2F760981"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80%</w:t>
            </w:r>
          </w:p>
        </w:tc>
        <w:tc>
          <w:tcPr>
            <w:tcW w:w="902" w:type="dxa"/>
            <w:vAlign w:val="center"/>
          </w:tcPr>
          <w:p w14:paraId="5E576790" w14:textId="77777777" w:rsidR="00657D48" w:rsidRDefault="00657D48">
            <w:pPr>
              <w:pBdr>
                <w:top w:val="nil"/>
                <w:left w:val="nil"/>
                <w:bottom w:val="nil"/>
                <w:right w:val="nil"/>
                <w:between w:val="nil"/>
              </w:pBdr>
              <w:spacing w:after="240" w:line="360" w:lineRule="auto"/>
              <w:jc w:val="center"/>
              <w:rPr>
                <w:color w:val="000000"/>
                <w:sz w:val="18"/>
                <w:szCs w:val="18"/>
              </w:rPr>
            </w:pPr>
          </w:p>
        </w:tc>
      </w:tr>
      <w:tr w:rsidR="00657D48" w14:paraId="3C6FB871" w14:textId="77777777">
        <w:trPr>
          <w:trHeight w:val="228"/>
        </w:trPr>
        <w:tc>
          <w:tcPr>
            <w:tcW w:w="1985" w:type="dxa"/>
            <w:vAlign w:val="center"/>
          </w:tcPr>
          <w:p w14:paraId="07A746EB"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ORGANIZACION</w:t>
            </w:r>
          </w:p>
        </w:tc>
        <w:tc>
          <w:tcPr>
            <w:tcW w:w="2268" w:type="dxa"/>
            <w:vAlign w:val="center"/>
          </w:tcPr>
          <w:p w14:paraId="37585D45"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Existe una organización lógica</w:t>
            </w:r>
          </w:p>
        </w:tc>
        <w:tc>
          <w:tcPr>
            <w:tcW w:w="850" w:type="dxa"/>
          </w:tcPr>
          <w:p w14:paraId="53FEE6DF"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74EBEBCD"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19C1FBCE"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41E5C9B4" w14:textId="77777777" w:rsidR="00657D48" w:rsidRDefault="00657D48">
            <w:pPr>
              <w:pBdr>
                <w:top w:val="nil"/>
                <w:left w:val="nil"/>
                <w:bottom w:val="nil"/>
                <w:right w:val="nil"/>
                <w:between w:val="nil"/>
              </w:pBdr>
              <w:spacing w:after="240" w:line="360" w:lineRule="auto"/>
              <w:jc w:val="center"/>
              <w:rPr>
                <w:color w:val="000000"/>
                <w:sz w:val="18"/>
                <w:szCs w:val="18"/>
              </w:rPr>
            </w:pPr>
          </w:p>
        </w:tc>
        <w:tc>
          <w:tcPr>
            <w:tcW w:w="902" w:type="dxa"/>
            <w:vAlign w:val="center"/>
          </w:tcPr>
          <w:p w14:paraId="2777DD40"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95%</w:t>
            </w:r>
          </w:p>
        </w:tc>
      </w:tr>
      <w:tr w:rsidR="00657D48" w14:paraId="1BA1C58B" w14:textId="77777777">
        <w:trPr>
          <w:trHeight w:val="348"/>
        </w:trPr>
        <w:tc>
          <w:tcPr>
            <w:tcW w:w="1985" w:type="dxa"/>
            <w:vAlign w:val="center"/>
          </w:tcPr>
          <w:p w14:paraId="250398E0"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SUFICIENCIA</w:t>
            </w:r>
          </w:p>
        </w:tc>
        <w:tc>
          <w:tcPr>
            <w:tcW w:w="2268" w:type="dxa"/>
            <w:vAlign w:val="center"/>
          </w:tcPr>
          <w:p w14:paraId="160C8A57"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Comprende los aspectos en cantidad y calidad.</w:t>
            </w:r>
          </w:p>
        </w:tc>
        <w:tc>
          <w:tcPr>
            <w:tcW w:w="850" w:type="dxa"/>
          </w:tcPr>
          <w:p w14:paraId="7A23F196"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4FF7FA5B"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774C606E"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481C40F7"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90%</w:t>
            </w:r>
          </w:p>
        </w:tc>
        <w:tc>
          <w:tcPr>
            <w:tcW w:w="902" w:type="dxa"/>
            <w:vAlign w:val="center"/>
          </w:tcPr>
          <w:p w14:paraId="7EF517DF" w14:textId="77777777" w:rsidR="00657D48" w:rsidRDefault="00657D48">
            <w:pPr>
              <w:pBdr>
                <w:top w:val="nil"/>
                <w:left w:val="nil"/>
                <w:bottom w:val="nil"/>
                <w:right w:val="nil"/>
                <w:between w:val="nil"/>
              </w:pBdr>
              <w:spacing w:after="240" w:line="360" w:lineRule="auto"/>
              <w:jc w:val="center"/>
              <w:rPr>
                <w:color w:val="000000"/>
                <w:sz w:val="18"/>
                <w:szCs w:val="18"/>
              </w:rPr>
            </w:pPr>
          </w:p>
        </w:tc>
      </w:tr>
      <w:tr w:rsidR="00657D48" w14:paraId="1B06DA6C" w14:textId="77777777">
        <w:trPr>
          <w:trHeight w:val="348"/>
        </w:trPr>
        <w:tc>
          <w:tcPr>
            <w:tcW w:w="1985" w:type="dxa"/>
            <w:vAlign w:val="center"/>
          </w:tcPr>
          <w:p w14:paraId="28241EF8"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INTENCIONALIDAD</w:t>
            </w:r>
          </w:p>
        </w:tc>
        <w:tc>
          <w:tcPr>
            <w:tcW w:w="2268" w:type="dxa"/>
            <w:vAlign w:val="center"/>
          </w:tcPr>
          <w:p w14:paraId="0CC4CFC9"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Adecuado para valorar aspectos de la investigación a realizar.</w:t>
            </w:r>
          </w:p>
        </w:tc>
        <w:tc>
          <w:tcPr>
            <w:tcW w:w="850" w:type="dxa"/>
          </w:tcPr>
          <w:p w14:paraId="756414A1"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1B7850B0"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71BC2E80"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5B50D80A" w14:textId="77777777" w:rsidR="00657D48" w:rsidRDefault="00657D48">
            <w:pPr>
              <w:pBdr>
                <w:top w:val="nil"/>
                <w:left w:val="nil"/>
                <w:bottom w:val="nil"/>
                <w:right w:val="nil"/>
                <w:between w:val="nil"/>
              </w:pBdr>
              <w:spacing w:after="240" w:line="360" w:lineRule="auto"/>
              <w:jc w:val="center"/>
              <w:rPr>
                <w:color w:val="000000"/>
                <w:sz w:val="18"/>
                <w:szCs w:val="18"/>
              </w:rPr>
            </w:pPr>
          </w:p>
        </w:tc>
        <w:tc>
          <w:tcPr>
            <w:tcW w:w="902" w:type="dxa"/>
            <w:vAlign w:val="center"/>
          </w:tcPr>
          <w:p w14:paraId="477CD511"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95%</w:t>
            </w:r>
          </w:p>
        </w:tc>
      </w:tr>
      <w:tr w:rsidR="00657D48" w14:paraId="7799CBA6" w14:textId="77777777">
        <w:trPr>
          <w:trHeight w:val="348"/>
        </w:trPr>
        <w:tc>
          <w:tcPr>
            <w:tcW w:w="1985" w:type="dxa"/>
            <w:vAlign w:val="center"/>
          </w:tcPr>
          <w:p w14:paraId="70F634A0"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CONSISTENCIA</w:t>
            </w:r>
          </w:p>
        </w:tc>
        <w:tc>
          <w:tcPr>
            <w:tcW w:w="2268" w:type="dxa"/>
            <w:vAlign w:val="center"/>
          </w:tcPr>
          <w:p w14:paraId="304DE4B3"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Basado en aspectos teóricos científicos del tema de investigación.</w:t>
            </w:r>
          </w:p>
        </w:tc>
        <w:tc>
          <w:tcPr>
            <w:tcW w:w="850" w:type="dxa"/>
          </w:tcPr>
          <w:p w14:paraId="374B6332"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62294988"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64F6D479"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6C421FA3" w14:textId="77777777" w:rsidR="00657D48" w:rsidRDefault="00657D48">
            <w:pPr>
              <w:pBdr>
                <w:top w:val="nil"/>
                <w:left w:val="nil"/>
                <w:bottom w:val="nil"/>
                <w:right w:val="nil"/>
                <w:between w:val="nil"/>
              </w:pBdr>
              <w:spacing w:after="240" w:line="360" w:lineRule="auto"/>
              <w:jc w:val="center"/>
              <w:rPr>
                <w:color w:val="000000"/>
                <w:sz w:val="18"/>
                <w:szCs w:val="18"/>
              </w:rPr>
            </w:pPr>
          </w:p>
        </w:tc>
        <w:tc>
          <w:tcPr>
            <w:tcW w:w="902" w:type="dxa"/>
            <w:vAlign w:val="center"/>
          </w:tcPr>
          <w:p w14:paraId="3FC4AFD1"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95%</w:t>
            </w:r>
          </w:p>
        </w:tc>
      </w:tr>
      <w:tr w:rsidR="00657D48" w14:paraId="51F7022A" w14:textId="77777777">
        <w:trPr>
          <w:trHeight w:val="348"/>
        </w:trPr>
        <w:tc>
          <w:tcPr>
            <w:tcW w:w="1985" w:type="dxa"/>
            <w:vAlign w:val="center"/>
          </w:tcPr>
          <w:p w14:paraId="6226A0A1"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t>COHERENCIA</w:t>
            </w:r>
          </w:p>
        </w:tc>
        <w:tc>
          <w:tcPr>
            <w:tcW w:w="2268" w:type="dxa"/>
            <w:vAlign w:val="center"/>
          </w:tcPr>
          <w:p w14:paraId="7EED2E1B"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Entre dimensiones (si hubiera) ítems e índices.</w:t>
            </w:r>
          </w:p>
        </w:tc>
        <w:tc>
          <w:tcPr>
            <w:tcW w:w="850" w:type="dxa"/>
          </w:tcPr>
          <w:p w14:paraId="6C0EB80B"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0BB7701E"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1754D497"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2C6C6658"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90%</w:t>
            </w:r>
          </w:p>
        </w:tc>
        <w:tc>
          <w:tcPr>
            <w:tcW w:w="902" w:type="dxa"/>
            <w:vAlign w:val="center"/>
          </w:tcPr>
          <w:p w14:paraId="559F0E5E" w14:textId="77777777" w:rsidR="00657D48" w:rsidRDefault="00657D48">
            <w:pPr>
              <w:pBdr>
                <w:top w:val="nil"/>
                <w:left w:val="nil"/>
                <w:bottom w:val="nil"/>
                <w:right w:val="nil"/>
                <w:between w:val="nil"/>
              </w:pBdr>
              <w:spacing w:after="240" w:line="360" w:lineRule="auto"/>
              <w:jc w:val="center"/>
              <w:rPr>
                <w:color w:val="000000"/>
                <w:sz w:val="18"/>
                <w:szCs w:val="18"/>
              </w:rPr>
            </w:pPr>
          </w:p>
        </w:tc>
      </w:tr>
      <w:tr w:rsidR="00657D48" w14:paraId="7F284FF8" w14:textId="77777777">
        <w:trPr>
          <w:trHeight w:val="360"/>
        </w:trPr>
        <w:tc>
          <w:tcPr>
            <w:tcW w:w="1985" w:type="dxa"/>
            <w:vAlign w:val="center"/>
          </w:tcPr>
          <w:p w14:paraId="0C1AF32E" w14:textId="77777777" w:rsidR="00657D48" w:rsidRDefault="003F3EEB">
            <w:pPr>
              <w:numPr>
                <w:ilvl w:val="0"/>
                <w:numId w:val="13"/>
              </w:numPr>
              <w:pBdr>
                <w:top w:val="nil"/>
                <w:left w:val="nil"/>
                <w:bottom w:val="nil"/>
                <w:right w:val="nil"/>
                <w:between w:val="nil"/>
              </w:pBdr>
              <w:spacing w:after="240" w:line="360" w:lineRule="auto"/>
              <w:ind w:left="171" w:hanging="171"/>
              <w:jc w:val="left"/>
              <w:rPr>
                <w:b/>
                <w:color w:val="000000"/>
                <w:sz w:val="16"/>
                <w:szCs w:val="16"/>
              </w:rPr>
            </w:pPr>
            <w:r>
              <w:rPr>
                <w:b/>
                <w:color w:val="000000"/>
                <w:sz w:val="16"/>
                <w:szCs w:val="16"/>
              </w:rPr>
              <w:lastRenderedPageBreak/>
              <w:t>METODOLOGIA</w:t>
            </w:r>
          </w:p>
        </w:tc>
        <w:tc>
          <w:tcPr>
            <w:tcW w:w="2268" w:type="dxa"/>
            <w:vAlign w:val="center"/>
          </w:tcPr>
          <w:p w14:paraId="00EFF119"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La estrategia responde al propósito de la investigación.</w:t>
            </w:r>
          </w:p>
        </w:tc>
        <w:tc>
          <w:tcPr>
            <w:tcW w:w="850" w:type="dxa"/>
          </w:tcPr>
          <w:p w14:paraId="10010734"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127E156F"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0A090381"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16D8223A" w14:textId="77777777" w:rsidR="00657D48" w:rsidRDefault="00657D48">
            <w:pPr>
              <w:pBdr>
                <w:top w:val="nil"/>
                <w:left w:val="nil"/>
                <w:bottom w:val="nil"/>
                <w:right w:val="nil"/>
                <w:between w:val="nil"/>
              </w:pBdr>
              <w:spacing w:after="240" w:line="360" w:lineRule="auto"/>
              <w:jc w:val="center"/>
              <w:rPr>
                <w:color w:val="000000"/>
                <w:sz w:val="18"/>
                <w:szCs w:val="18"/>
              </w:rPr>
            </w:pPr>
          </w:p>
        </w:tc>
        <w:tc>
          <w:tcPr>
            <w:tcW w:w="902" w:type="dxa"/>
            <w:vAlign w:val="center"/>
          </w:tcPr>
          <w:p w14:paraId="7CA5C94B"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95%</w:t>
            </w:r>
          </w:p>
        </w:tc>
      </w:tr>
      <w:tr w:rsidR="00657D48" w14:paraId="738533DF" w14:textId="77777777">
        <w:trPr>
          <w:trHeight w:val="336"/>
        </w:trPr>
        <w:tc>
          <w:tcPr>
            <w:tcW w:w="1985" w:type="dxa"/>
            <w:vAlign w:val="center"/>
          </w:tcPr>
          <w:p w14:paraId="4890E025" w14:textId="77777777" w:rsidR="00657D48" w:rsidRDefault="003F3EEB">
            <w:pPr>
              <w:numPr>
                <w:ilvl w:val="0"/>
                <w:numId w:val="13"/>
              </w:numPr>
              <w:pBdr>
                <w:top w:val="nil"/>
                <w:left w:val="nil"/>
                <w:bottom w:val="nil"/>
                <w:right w:val="nil"/>
                <w:between w:val="nil"/>
              </w:pBdr>
              <w:spacing w:after="240" w:line="360" w:lineRule="auto"/>
              <w:ind w:left="313" w:hanging="313"/>
              <w:jc w:val="left"/>
              <w:rPr>
                <w:b/>
                <w:color w:val="000000"/>
                <w:sz w:val="16"/>
                <w:szCs w:val="16"/>
              </w:rPr>
            </w:pPr>
            <w:r>
              <w:rPr>
                <w:b/>
                <w:color w:val="000000"/>
                <w:sz w:val="16"/>
                <w:szCs w:val="16"/>
              </w:rPr>
              <w:t>PERTINENCIA</w:t>
            </w:r>
          </w:p>
        </w:tc>
        <w:tc>
          <w:tcPr>
            <w:tcW w:w="2268" w:type="dxa"/>
            <w:vAlign w:val="center"/>
          </w:tcPr>
          <w:p w14:paraId="78F3B970"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El instrumento es el adecuado para el propósito de la investigación.</w:t>
            </w:r>
          </w:p>
        </w:tc>
        <w:tc>
          <w:tcPr>
            <w:tcW w:w="850" w:type="dxa"/>
          </w:tcPr>
          <w:p w14:paraId="391E0143" w14:textId="77777777" w:rsidR="00657D48" w:rsidRDefault="00657D48">
            <w:pPr>
              <w:pBdr>
                <w:top w:val="nil"/>
                <w:left w:val="nil"/>
                <w:bottom w:val="nil"/>
                <w:right w:val="nil"/>
                <w:between w:val="nil"/>
              </w:pBdr>
              <w:spacing w:after="240" w:line="360" w:lineRule="auto"/>
              <w:jc w:val="left"/>
              <w:rPr>
                <w:color w:val="000000"/>
              </w:rPr>
            </w:pPr>
          </w:p>
        </w:tc>
        <w:tc>
          <w:tcPr>
            <w:tcW w:w="709" w:type="dxa"/>
          </w:tcPr>
          <w:p w14:paraId="4F233FAE" w14:textId="77777777" w:rsidR="00657D48" w:rsidRDefault="00657D48">
            <w:pPr>
              <w:pBdr>
                <w:top w:val="nil"/>
                <w:left w:val="nil"/>
                <w:bottom w:val="nil"/>
                <w:right w:val="nil"/>
                <w:between w:val="nil"/>
              </w:pBdr>
              <w:spacing w:after="240" w:line="360" w:lineRule="auto"/>
              <w:jc w:val="left"/>
              <w:rPr>
                <w:color w:val="000000"/>
              </w:rPr>
            </w:pPr>
          </w:p>
        </w:tc>
        <w:tc>
          <w:tcPr>
            <w:tcW w:w="851" w:type="dxa"/>
            <w:vAlign w:val="center"/>
          </w:tcPr>
          <w:p w14:paraId="164ED5F9" w14:textId="77777777" w:rsidR="00657D48" w:rsidRDefault="00657D48">
            <w:pPr>
              <w:pBdr>
                <w:top w:val="nil"/>
                <w:left w:val="nil"/>
                <w:bottom w:val="nil"/>
                <w:right w:val="nil"/>
                <w:between w:val="nil"/>
              </w:pBdr>
              <w:spacing w:after="240" w:line="360" w:lineRule="auto"/>
              <w:jc w:val="center"/>
              <w:rPr>
                <w:color w:val="000000"/>
              </w:rPr>
            </w:pPr>
          </w:p>
        </w:tc>
        <w:tc>
          <w:tcPr>
            <w:tcW w:w="919" w:type="dxa"/>
            <w:vAlign w:val="center"/>
          </w:tcPr>
          <w:p w14:paraId="69736A2D" w14:textId="77777777" w:rsidR="00657D48" w:rsidRDefault="00657D48">
            <w:pPr>
              <w:pBdr>
                <w:top w:val="nil"/>
                <w:left w:val="nil"/>
                <w:bottom w:val="nil"/>
                <w:right w:val="nil"/>
                <w:between w:val="nil"/>
              </w:pBdr>
              <w:spacing w:after="240" w:line="360" w:lineRule="auto"/>
              <w:jc w:val="center"/>
              <w:rPr>
                <w:color w:val="000000"/>
                <w:sz w:val="18"/>
                <w:szCs w:val="18"/>
              </w:rPr>
            </w:pPr>
          </w:p>
        </w:tc>
        <w:tc>
          <w:tcPr>
            <w:tcW w:w="902" w:type="dxa"/>
            <w:vAlign w:val="center"/>
          </w:tcPr>
          <w:p w14:paraId="0BBD2D72" w14:textId="77777777" w:rsidR="00657D48" w:rsidRDefault="003F3EEB">
            <w:pPr>
              <w:pBdr>
                <w:top w:val="nil"/>
                <w:left w:val="nil"/>
                <w:bottom w:val="nil"/>
                <w:right w:val="nil"/>
                <w:between w:val="nil"/>
              </w:pBdr>
              <w:spacing w:after="240" w:line="360" w:lineRule="auto"/>
              <w:jc w:val="center"/>
              <w:rPr>
                <w:color w:val="000000"/>
                <w:sz w:val="18"/>
                <w:szCs w:val="18"/>
              </w:rPr>
            </w:pPr>
            <w:r>
              <w:rPr>
                <w:color w:val="000000"/>
                <w:sz w:val="18"/>
                <w:szCs w:val="18"/>
              </w:rPr>
              <w:t>95%</w:t>
            </w:r>
          </w:p>
        </w:tc>
      </w:tr>
    </w:tbl>
    <w:p w14:paraId="5823DA76" w14:textId="77777777" w:rsidR="00657D48" w:rsidRDefault="00657D48">
      <w:pPr>
        <w:pBdr>
          <w:top w:val="nil"/>
          <w:left w:val="nil"/>
          <w:bottom w:val="nil"/>
          <w:right w:val="nil"/>
          <w:between w:val="nil"/>
        </w:pBdr>
        <w:spacing w:after="0" w:line="240" w:lineRule="auto"/>
        <w:ind w:left="1440"/>
        <w:rPr>
          <w:rFonts w:ascii="Times New Roman" w:eastAsia="Times New Roman" w:hAnsi="Times New Roman" w:cs="Times New Roman"/>
          <w:color w:val="000000"/>
          <w:sz w:val="16"/>
          <w:szCs w:val="16"/>
        </w:rPr>
      </w:pPr>
    </w:p>
    <w:p w14:paraId="7280C2CC" w14:textId="77777777" w:rsidR="00657D48" w:rsidRDefault="003F3EEB">
      <w:pPr>
        <w:numPr>
          <w:ilvl w:val="0"/>
          <w:numId w:val="10"/>
        </w:numPr>
        <w:pBdr>
          <w:top w:val="nil"/>
          <w:left w:val="nil"/>
          <w:bottom w:val="nil"/>
          <w:right w:val="nil"/>
          <w:between w:val="nil"/>
        </w:pBdr>
        <w:spacing w:after="0" w:line="240" w:lineRule="auto"/>
        <w:ind w:left="284" w:hanging="284"/>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PROMEDIO DE LA VALORACION: 91%</w:t>
      </w:r>
    </w:p>
    <w:p w14:paraId="50BDF575" w14:textId="77777777" w:rsidR="00657D48" w:rsidRDefault="003F3EEB">
      <w:pPr>
        <w:numPr>
          <w:ilvl w:val="0"/>
          <w:numId w:val="10"/>
        </w:numPr>
        <w:pBdr>
          <w:top w:val="nil"/>
          <w:left w:val="nil"/>
          <w:bottom w:val="nil"/>
          <w:right w:val="nil"/>
          <w:between w:val="nil"/>
        </w:pBdr>
        <w:spacing w:after="0" w:line="240" w:lineRule="auto"/>
        <w:ind w:left="284" w:hanging="284"/>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INFORME DE APLICABILIDAD:</w:t>
      </w:r>
    </w:p>
    <w:p w14:paraId="227E7255" w14:textId="77777777" w:rsidR="00657D48" w:rsidRDefault="00657D48">
      <w:pPr>
        <w:pBdr>
          <w:top w:val="nil"/>
          <w:left w:val="nil"/>
          <w:bottom w:val="nil"/>
          <w:right w:val="nil"/>
          <w:between w:val="nil"/>
        </w:pBdr>
        <w:spacing w:after="0" w:line="240" w:lineRule="auto"/>
        <w:ind w:left="1440"/>
        <w:rPr>
          <w:rFonts w:ascii="Times New Roman" w:eastAsia="Times New Roman" w:hAnsi="Times New Roman" w:cs="Times New Roman"/>
          <w:b/>
          <w:color w:val="000000"/>
          <w:sz w:val="16"/>
          <w:szCs w:val="16"/>
        </w:rPr>
      </w:pPr>
    </w:p>
    <w:p w14:paraId="67F4DEC6" w14:textId="77777777" w:rsidR="00657D48" w:rsidRDefault="003F3EEB">
      <w:pPr>
        <w:pBdr>
          <w:top w:val="nil"/>
          <w:left w:val="nil"/>
          <w:bottom w:val="nil"/>
          <w:right w:val="nil"/>
          <w:between w:val="nil"/>
        </w:pBdr>
        <w:spacing w:after="0" w:line="240" w:lineRule="auto"/>
        <w:ind w:left="851" w:hanging="545"/>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El instrumento puede ser aplicado, tal como está elaborado</w:t>
      </w:r>
    </w:p>
    <w:p w14:paraId="38133F1A" w14:textId="77777777" w:rsidR="00657D48" w:rsidRDefault="003F3EEB">
      <w:pPr>
        <w:pBdr>
          <w:top w:val="nil"/>
          <w:left w:val="nil"/>
          <w:bottom w:val="nil"/>
          <w:right w:val="nil"/>
          <w:between w:val="nil"/>
        </w:pBdr>
        <w:spacing w:after="0" w:line="240" w:lineRule="auto"/>
        <w:ind w:left="567" w:hanging="261"/>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(X) El instrumento debe ser mejorado antes de ser aplicado </w:t>
      </w:r>
    </w:p>
    <w:p w14:paraId="556894DF" w14:textId="77777777" w:rsidR="00657D48" w:rsidRDefault="003F3EEB">
      <w:pPr>
        <w:pBdr>
          <w:top w:val="nil"/>
          <w:left w:val="nil"/>
          <w:bottom w:val="nil"/>
          <w:right w:val="nil"/>
          <w:between w:val="nil"/>
        </w:pBdr>
        <w:spacing w:line="240" w:lineRule="auto"/>
        <w:ind w:left="851" w:hanging="545"/>
        <w:rPr>
          <w:rFonts w:ascii="Times New Roman" w:eastAsia="Times New Roman" w:hAnsi="Times New Roman" w:cs="Times New Roman"/>
          <w:color w:val="000000"/>
          <w:sz w:val="16"/>
          <w:szCs w:val="16"/>
        </w:rPr>
      </w:pPr>
      <w:r>
        <w:rPr>
          <w:noProof/>
        </w:rPr>
        <mc:AlternateContent>
          <mc:Choice Requires="wps">
            <w:drawing>
              <wp:anchor distT="0" distB="0" distL="114300" distR="114300" simplePos="0" relativeHeight="251674624" behindDoc="0" locked="0" layoutInCell="1" hidden="0" allowOverlap="1" wp14:anchorId="4745982C" wp14:editId="53EBA09B">
                <wp:simplePos x="0" y="0"/>
                <wp:positionH relativeFrom="column">
                  <wp:posOffset>2625173</wp:posOffset>
                </wp:positionH>
                <wp:positionV relativeFrom="paragraph">
                  <wp:posOffset>45112</wp:posOffset>
                </wp:positionV>
                <wp:extent cx="3000375" cy="1100667"/>
                <wp:effectExtent l="0" t="0" r="0" b="4445"/>
                <wp:wrapNone/>
                <wp:docPr id="7" name="Cuadro de texto 7"/>
                <wp:cNvGraphicFramePr/>
                <a:graphic xmlns:a="http://schemas.openxmlformats.org/drawingml/2006/main">
                  <a:graphicData uri="http://schemas.microsoft.com/office/word/2010/wordprocessingShape">
                    <wps:wsp>
                      <wps:cNvSpPr txBox="1"/>
                      <wps:spPr>
                        <a:xfrm>
                          <a:off x="0" y="0"/>
                          <a:ext cx="3000375" cy="1100667"/>
                        </a:xfrm>
                        <a:prstGeom prst="rect">
                          <a:avLst/>
                        </a:prstGeom>
                        <a:solidFill>
                          <a:schemeClr val="lt1"/>
                        </a:solidFill>
                        <a:ln w="6350">
                          <a:noFill/>
                        </a:ln>
                      </wps:spPr>
                      <wps:txbx>
                        <w:txbxContent>
                          <w:p w14:paraId="36EE41D5" w14:textId="77777777" w:rsidR="002D22AA" w:rsidRDefault="002D22AA" w:rsidP="003F3EEB">
                            <w:pPr>
                              <w:spacing w:after="0" w:line="240" w:lineRule="auto"/>
                              <w:rPr>
                                <w:rFonts w:cstheme="minorHAnsi"/>
                                <w:sz w:val="20"/>
                                <w:lang w:val="es-MX"/>
                              </w:rPr>
                            </w:pPr>
                            <w:r>
                              <w:rPr>
                                <w:rFonts w:cstheme="minorHAnsi"/>
                                <w:sz w:val="20"/>
                                <w:lang w:val="es-MX"/>
                              </w:rPr>
                              <w:t xml:space="preserve">                            </w:t>
                            </w:r>
                            <w:r>
                              <w:rPr>
                                <w:noProof/>
                              </w:rPr>
                              <w:drawing>
                                <wp:inline distT="0" distB="0" distL="0" distR="0" wp14:anchorId="059350D2" wp14:editId="7F902AAD">
                                  <wp:extent cx="1092200" cy="405765"/>
                                  <wp:effectExtent l="0" t="0" r="0" b="635"/>
                                  <wp:docPr id="46" name="Imagen 46"/>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69"/>
                                          <a:stretch>
                                            <a:fillRect/>
                                          </a:stretch>
                                        </pic:blipFill>
                                        <pic:spPr>
                                          <a:xfrm>
                                            <a:off x="0" y="0"/>
                                            <a:ext cx="1092200" cy="405765"/>
                                          </a:xfrm>
                                          <a:prstGeom prst="rect">
                                            <a:avLst/>
                                          </a:prstGeom>
                                        </pic:spPr>
                                      </pic:pic>
                                    </a:graphicData>
                                  </a:graphic>
                                </wp:inline>
                              </w:drawing>
                            </w:r>
                          </w:p>
                          <w:p w14:paraId="6D604E36" w14:textId="77777777" w:rsidR="002D22AA" w:rsidRPr="00DD6312" w:rsidRDefault="002D22AA" w:rsidP="003F3EEB">
                            <w:pPr>
                              <w:spacing w:after="0" w:line="240" w:lineRule="auto"/>
                              <w:jc w:val="center"/>
                              <w:rPr>
                                <w:rFonts w:cstheme="minorHAnsi"/>
                                <w:sz w:val="20"/>
                                <w:lang w:val="es-MX"/>
                              </w:rPr>
                            </w:pPr>
                            <w:r w:rsidRPr="00DD6312">
                              <w:rPr>
                                <w:rFonts w:cstheme="minorHAnsi"/>
                                <w:sz w:val="20"/>
                                <w:lang w:val="es-MX"/>
                              </w:rPr>
                              <w:t>FIRMA DEL EXPERTO INFORMANTE</w:t>
                            </w:r>
                          </w:p>
                          <w:p w14:paraId="22A5528C" w14:textId="77777777" w:rsidR="002D22AA" w:rsidRDefault="002D22AA" w:rsidP="003F3EEB">
                            <w:pPr>
                              <w:spacing w:after="0" w:line="240" w:lineRule="auto"/>
                              <w:jc w:val="center"/>
                              <w:rPr>
                                <w:rFonts w:cstheme="minorHAnsi"/>
                                <w:sz w:val="20"/>
                                <w:lang w:val="es-MX"/>
                              </w:rPr>
                            </w:pPr>
                            <w:r w:rsidRPr="00DD6312">
                              <w:rPr>
                                <w:rFonts w:cstheme="minorHAnsi"/>
                                <w:sz w:val="20"/>
                                <w:lang w:val="es-MX"/>
                              </w:rPr>
                              <w:t>DNI N°</w:t>
                            </w:r>
                            <w:r>
                              <w:rPr>
                                <w:rFonts w:cstheme="minorHAnsi"/>
                                <w:sz w:val="20"/>
                                <w:lang w:val="es-MX"/>
                              </w:rPr>
                              <w:t xml:space="preserve"> 06111537  </w:t>
                            </w:r>
                            <w:r w:rsidRPr="00DD6312">
                              <w:rPr>
                                <w:rFonts w:cstheme="minorHAnsi"/>
                                <w:sz w:val="20"/>
                                <w:lang w:val="es-MX"/>
                              </w:rPr>
                              <w:t xml:space="preserve"> </w:t>
                            </w:r>
                          </w:p>
                          <w:p w14:paraId="3B5C921C" w14:textId="77777777" w:rsidR="002D22AA" w:rsidRPr="00DD6312" w:rsidRDefault="002D22AA" w:rsidP="003F3EEB">
                            <w:pPr>
                              <w:spacing w:line="240" w:lineRule="auto"/>
                              <w:jc w:val="center"/>
                              <w:rPr>
                                <w:rFonts w:cstheme="minorHAnsi"/>
                                <w:sz w:val="20"/>
                                <w:lang w:val="es-MX"/>
                              </w:rPr>
                            </w:pPr>
                            <w:r w:rsidRPr="00DD6312">
                              <w:rPr>
                                <w:rFonts w:cstheme="minorHAnsi"/>
                                <w:sz w:val="20"/>
                                <w:lang w:val="es-MX"/>
                              </w:rPr>
                              <w:t xml:space="preserve">TELÉFONO N° </w:t>
                            </w:r>
                            <w:r>
                              <w:rPr>
                                <w:rFonts w:cstheme="minorHAnsi"/>
                                <w:sz w:val="20"/>
                                <w:lang w:val="es-MX"/>
                              </w:rPr>
                              <w:t>942052792</w:t>
                            </w:r>
                          </w:p>
                          <w:p w14:paraId="695E206C" w14:textId="77777777" w:rsidR="002D22AA" w:rsidRPr="00F732A2" w:rsidRDefault="002D22AA" w:rsidP="003F3EE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45982C" id="Cuadro de texto 7" o:spid="_x0000_s1028" type="#_x0000_t202" style="position:absolute;left:0;text-align:left;margin-left:206.7pt;margin-top:3.55pt;width:236.25pt;height:86.6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" fillcolor="white [3201]" stroked="f" strokeweight=".5pt">
                <v:textbox>
                  <w:txbxContent>
                    <w:p w14:paraId="36EE41D5" w14:textId="77777777" w:rsidR="002D22AA" w:rsidRDefault="002D22AA" w:rsidP="003F3EEB">
                      <w:pPr>
                        <w:spacing w:after="0" w:line="240" w:lineRule="auto"/>
                        <w:rPr>
                          <w:rFonts w:cstheme="minorHAnsi"/>
                          <w:sz w:val="20"/>
                          <w:lang w:val="es-MX"/>
                        </w:rPr>
                      </w:pPr>
                      <w:r>
                        <w:rPr>
                          <w:rFonts w:cstheme="minorHAnsi"/>
                          <w:sz w:val="20"/>
                          <w:lang w:val="es-MX"/>
                        </w:rPr>
                        <w:t xml:space="preserve">                            </w:t>
                      </w:r>
                      <w:r>
                        <w:rPr>
                          <w:noProof/>
                        </w:rPr>
                        <w:drawing>
                          <wp:inline distT="0" distB="0" distL="0" distR="0" wp14:anchorId="059350D2" wp14:editId="7F902AAD">
                            <wp:extent cx="1092200" cy="405765"/>
                            <wp:effectExtent l="0" t="0" r="0" b="635"/>
                            <wp:docPr id="46" name="Imagen 46"/>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69"/>
                                    <a:stretch>
                                      <a:fillRect/>
                                    </a:stretch>
                                  </pic:blipFill>
                                  <pic:spPr>
                                    <a:xfrm>
                                      <a:off x="0" y="0"/>
                                      <a:ext cx="1092200" cy="405765"/>
                                    </a:xfrm>
                                    <a:prstGeom prst="rect">
                                      <a:avLst/>
                                    </a:prstGeom>
                                  </pic:spPr>
                                </pic:pic>
                              </a:graphicData>
                            </a:graphic>
                          </wp:inline>
                        </w:drawing>
                      </w:r>
                    </w:p>
                    <w:p w14:paraId="6D604E36" w14:textId="77777777" w:rsidR="002D22AA" w:rsidRPr="00DD6312" w:rsidRDefault="002D22AA" w:rsidP="003F3EEB">
                      <w:pPr>
                        <w:spacing w:after="0" w:line="240" w:lineRule="auto"/>
                        <w:jc w:val="center"/>
                        <w:rPr>
                          <w:rFonts w:cstheme="minorHAnsi"/>
                          <w:sz w:val="20"/>
                          <w:lang w:val="es-MX"/>
                        </w:rPr>
                      </w:pPr>
                      <w:r w:rsidRPr="00DD6312">
                        <w:rPr>
                          <w:rFonts w:cstheme="minorHAnsi"/>
                          <w:sz w:val="20"/>
                          <w:lang w:val="es-MX"/>
                        </w:rPr>
                        <w:t>FIRMA DEL EXPERTO INFORMANTE</w:t>
                      </w:r>
                    </w:p>
                    <w:p w14:paraId="22A5528C" w14:textId="77777777" w:rsidR="002D22AA" w:rsidRDefault="002D22AA" w:rsidP="003F3EEB">
                      <w:pPr>
                        <w:spacing w:after="0" w:line="240" w:lineRule="auto"/>
                        <w:jc w:val="center"/>
                        <w:rPr>
                          <w:rFonts w:cstheme="minorHAnsi"/>
                          <w:sz w:val="20"/>
                          <w:lang w:val="es-MX"/>
                        </w:rPr>
                      </w:pPr>
                      <w:r w:rsidRPr="00DD6312">
                        <w:rPr>
                          <w:rFonts w:cstheme="minorHAnsi"/>
                          <w:sz w:val="20"/>
                          <w:lang w:val="es-MX"/>
                        </w:rPr>
                        <w:t>DNI N°</w:t>
                      </w:r>
                      <w:r>
                        <w:rPr>
                          <w:rFonts w:cstheme="minorHAnsi"/>
                          <w:sz w:val="20"/>
                          <w:lang w:val="es-MX"/>
                        </w:rPr>
                        <w:t xml:space="preserve"> 06111537  </w:t>
                      </w:r>
                      <w:r w:rsidRPr="00DD6312">
                        <w:rPr>
                          <w:rFonts w:cstheme="minorHAnsi"/>
                          <w:sz w:val="20"/>
                          <w:lang w:val="es-MX"/>
                        </w:rPr>
                        <w:t xml:space="preserve"> </w:t>
                      </w:r>
                    </w:p>
                    <w:p w14:paraId="3B5C921C" w14:textId="77777777" w:rsidR="002D22AA" w:rsidRPr="00DD6312" w:rsidRDefault="002D22AA" w:rsidP="003F3EEB">
                      <w:pPr>
                        <w:spacing w:line="240" w:lineRule="auto"/>
                        <w:jc w:val="center"/>
                        <w:rPr>
                          <w:rFonts w:cstheme="minorHAnsi"/>
                          <w:sz w:val="20"/>
                          <w:lang w:val="es-MX"/>
                        </w:rPr>
                      </w:pPr>
                      <w:r w:rsidRPr="00DD6312">
                        <w:rPr>
                          <w:rFonts w:cstheme="minorHAnsi"/>
                          <w:sz w:val="20"/>
                          <w:lang w:val="es-MX"/>
                        </w:rPr>
                        <w:t xml:space="preserve">TELÉFONO N° </w:t>
                      </w:r>
                      <w:r>
                        <w:rPr>
                          <w:rFonts w:cstheme="minorHAnsi"/>
                          <w:sz w:val="20"/>
                          <w:lang w:val="es-MX"/>
                        </w:rPr>
                        <w:t>942052792</w:t>
                      </w:r>
                    </w:p>
                    <w:p w14:paraId="695E206C" w14:textId="77777777" w:rsidR="002D22AA" w:rsidRPr="00F732A2" w:rsidRDefault="002D22AA" w:rsidP="003F3EEB"/>
                  </w:txbxContent>
                </v:textbox>
              </v:shape>
            </w:pict>
          </mc:Fallback>
        </mc:AlternateContent>
      </w:r>
    </w:p>
    <w:p w14:paraId="28241358" w14:textId="77777777" w:rsidR="00657D48" w:rsidRDefault="003F3EEB">
      <w:pPr>
        <w:spacing w:after="0"/>
        <w:ind w:left="284"/>
        <w:rPr>
          <w:rFonts w:ascii="Times New Roman" w:eastAsia="Times New Roman" w:hAnsi="Times New Roman" w:cs="Times New Roman"/>
        </w:rPr>
      </w:pPr>
      <w:r>
        <w:rPr>
          <w:rFonts w:ascii="Times New Roman" w:eastAsia="Times New Roman" w:hAnsi="Times New Roman" w:cs="Times New Roman"/>
          <w:sz w:val="18"/>
          <w:szCs w:val="18"/>
        </w:rPr>
        <w:t>Ciudad de Lima, 06 de abril del 2021</w:t>
      </w:r>
      <w:r>
        <w:rPr>
          <w:rFonts w:ascii="Times New Roman" w:eastAsia="Times New Roman" w:hAnsi="Times New Roman" w:cs="Times New Roman"/>
          <w:sz w:val="16"/>
          <w:szCs w:val="16"/>
        </w:rPr>
        <w:t>.</w:t>
      </w:r>
      <w:r>
        <w:rPr>
          <w:rFonts w:ascii="Times New Roman" w:eastAsia="Times New Roman" w:hAnsi="Times New Roman" w:cs="Times New Roman"/>
        </w:rPr>
        <w:tab/>
      </w:r>
    </w:p>
    <w:p w14:paraId="0B06D2C4" w14:textId="77777777" w:rsidR="00657D48" w:rsidRDefault="00657D48">
      <w:pPr>
        <w:spacing w:line="276" w:lineRule="auto"/>
        <w:ind w:left="1003" w:right="847"/>
        <w:jc w:val="center"/>
        <w:rPr>
          <w:rFonts w:ascii="Times New Roman" w:eastAsia="Times New Roman" w:hAnsi="Times New Roman" w:cs="Times New Roman"/>
          <w:b/>
          <w:sz w:val="16"/>
          <w:szCs w:val="16"/>
          <w:u w:val="single"/>
        </w:rPr>
      </w:pPr>
    </w:p>
    <w:p w14:paraId="1FD05ABC" w14:textId="77777777" w:rsidR="00657D48" w:rsidRDefault="00657D48">
      <w:pPr>
        <w:spacing w:line="276" w:lineRule="auto"/>
        <w:ind w:left="1003" w:right="847"/>
        <w:jc w:val="center"/>
        <w:rPr>
          <w:rFonts w:ascii="Times New Roman" w:eastAsia="Times New Roman" w:hAnsi="Times New Roman" w:cs="Times New Roman"/>
          <w:b/>
          <w:sz w:val="16"/>
          <w:szCs w:val="16"/>
          <w:u w:val="single"/>
        </w:rPr>
      </w:pPr>
    </w:p>
    <w:p w14:paraId="17359440" w14:textId="0F7EB66D" w:rsidR="00657D48" w:rsidRDefault="00657D48">
      <w:pPr>
        <w:spacing w:line="276" w:lineRule="auto"/>
        <w:ind w:left="1003" w:right="847"/>
        <w:jc w:val="center"/>
        <w:rPr>
          <w:rFonts w:ascii="Times New Roman" w:eastAsia="Times New Roman" w:hAnsi="Times New Roman" w:cs="Times New Roman"/>
          <w:b/>
          <w:sz w:val="20"/>
          <w:szCs w:val="20"/>
          <w:u w:val="single"/>
        </w:rPr>
      </w:pPr>
    </w:p>
    <w:p w14:paraId="0B29273A" w14:textId="44D29551"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5DB71592" w14:textId="53C37760"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0CC788F3" w14:textId="5DDD9B68"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199FC96A" w14:textId="21FE98D0"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3F392AF8" w14:textId="0F3249E8"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174A0CA5" w14:textId="0ED3D4BC"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6F94EC03" w14:textId="3F2F2660"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0EE01150" w14:textId="4504D4C6"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656377EF" w14:textId="33FCFB05"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0B36B793" w14:textId="4D2D4430"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5C9DD1B5" w14:textId="2D82F8A7"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1489E7BA" w14:textId="098B81DF"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4801FD6F" w14:textId="0F6478B9"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1C780C2E" w14:textId="4477F250"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4897CA58" w14:textId="023A5F4D"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1466AB79" w14:textId="41CCF1AA" w:rsidR="00002988" w:rsidRDefault="00002988">
      <w:pPr>
        <w:spacing w:line="276" w:lineRule="auto"/>
        <w:ind w:left="1003" w:right="847"/>
        <w:jc w:val="center"/>
        <w:rPr>
          <w:rFonts w:ascii="Times New Roman" w:eastAsia="Times New Roman" w:hAnsi="Times New Roman" w:cs="Times New Roman"/>
          <w:b/>
          <w:sz w:val="20"/>
          <w:szCs w:val="20"/>
          <w:u w:val="single"/>
        </w:rPr>
      </w:pPr>
    </w:p>
    <w:p w14:paraId="7D850655" w14:textId="77777777" w:rsidR="00657D48" w:rsidRDefault="003F3EEB">
      <w:pPr>
        <w:spacing w:line="276" w:lineRule="auto"/>
        <w:ind w:left="1003" w:right="847"/>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u w:val="single"/>
        </w:rPr>
        <w:lastRenderedPageBreak/>
        <w:t>Ficha del Informe de Opinión de Expertos</w:t>
      </w:r>
    </w:p>
    <w:p w14:paraId="7350D5B9" w14:textId="77777777" w:rsidR="00657D48" w:rsidRDefault="003F3EEB">
      <w:pPr>
        <w:spacing w:after="0"/>
        <w:rPr>
          <w:rFonts w:ascii="Times New Roman" w:eastAsia="Times New Roman" w:hAnsi="Times New Roman" w:cs="Times New Roman"/>
          <w:b/>
          <w:sz w:val="20"/>
          <w:szCs w:val="20"/>
        </w:rPr>
      </w:pPr>
      <w:r>
        <w:rPr>
          <w:rFonts w:ascii="Times New Roman" w:eastAsia="Times New Roman" w:hAnsi="Times New Roman" w:cs="Times New Roman"/>
          <w:b/>
          <w:sz w:val="20"/>
          <w:szCs w:val="20"/>
        </w:rPr>
        <w:t>Título de la investigación:</w:t>
      </w:r>
    </w:p>
    <w:p w14:paraId="7F241B4E" w14:textId="77777777" w:rsidR="00657D48" w:rsidRDefault="003F3EEB">
      <w:pPr>
        <w:spacing w:after="0"/>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Nombre del instrumento: </w:t>
      </w:r>
      <w:r>
        <w:rPr>
          <w:rFonts w:ascii="Times New Roman" w:eastAsia="Times New Roman" w:hAnsi="Times New Roman" w:cs="Times New Roman"/>
          <w:sz w:val="20"/>
          <w:szCs w:val="20"/>
        </w:rPr>
        <w:t>Encuesta</w:t>
      </w:r>
    </w:p>
    <w:p w14:paraId="27387E57" w14:textId="77777777" w:rsidR="00657D48" w:rsidRDefault="003F3EEB">
      <w:pPr>
        <w:widowControl w:val="0"/>
        <w:numPr>
          <w:ilvl w:val="1"/>
          <w:numId w:val="3"/>
        </w:numPr>
        <w:pBdr>
          <w:top w:val="nil"/>
          <w:left w:val="nil"/>
          <w:bottom w:val="nil"/>
          <w:right w:val="nil"/>
          <w:between w:val="nil"/>
        </w:pBdr>
        <w:tabs>
          <w:tab w:val="left" w:pos="2700"/>
          <w:tab w:val="left" w:pos="2701"/>
        </w:tabs>
        <w:spacing w:before="1" w:after="0" w:line="240" w:lineRule="auto"/>
        <w:ind w:left="284" w:hanging="284"/>
        <w:rPr>
          <w:color w:val="000000"/>
        </w:rPr>
      </w:pPr>
      <w:r>
        <w:rPr>
          <w:rFonts w:ascii="Times New Roman" w:eastAsia="Times New Roman" w:hAnsi="Times New Roman" w:cs="Times New Roman"/>
          <w:b/>
          <w:color w:val="000000"/>
          <w:sz w:val="20"/>
          <w:szCs w:val="20"/>
        </w:rPr>
        <w:t>DATOS DEL INFORMANTE:</w:t>
      </w:r>
    </w:p>
    <w:p w14:paraId="3D53A4F3" w14:textId="77777777" w:rsidR="00657D48" w:rsidRDefault="003F3EEB">
      <w:pPr>
        <w:widowControl w:val="0"/>
        <w:numPr>
          <w:ilvl w:val="1"/>
          <w:numId w:val="17"/>
        </w:numPr>
        <w:pBdr>
          <w:top w:val="nil"/>
          <w:left w:val="nil"/>
          <w:bottom w:val="nil"/>
          <w:right w:val="nil"/>
          <w:between w:val="nil"/>
        </w:pBdr>
        <w:tabs>
          <w:tab w:val="left" w:pos="3061"/>
        </w:tabs>
        <w:spacing w:before="164" w:after="0" w:line="240" w:lineRule="auto"/>
        <w:ind w:left="567" w:hanging="284"/>
        <w:jc w:val="both"/>
        <w:rPr>
          <w:color w:val="000000"/>
        </w:rPr>
      </w:pPr>
      <w:r>
        <w:rPr>
          <w:rFonts w:ascii="Times New Roman" w:eastAsia="Times New Roman" w:hAnsi="Times New Roman" w:cs="Times New Roman"/>
          <w:color w:val="000000"/>
          <w:sz w:val="20"/>
          <w:szCs w:val="20"/>
        </w:rPr>
        <w:t>Apellidos y nombres: Wilfredo Ricardo Samanamu Díaz</w:t>
      </w:r>
    </w:p>
    <w:p w14:paraId="4CEBD3D8" w14:textId="77777777" w:rsidR="00657D48" w:rsidRDefault="003F3EEB">
      <w:pPr>
        <w:widowControl w:val="0"/>
        <w:numPr>
          <w:ilvl w:val="1"/>
          <w:numId w:val="17"/>
        </w:numPr>
        <w:pBdr>
          <w:top w:val="nil"/>
          <w:left w:val="nil"/>
          <w:bottom w:val="nil"/>
          <w:right w:val="nil"/>
          <w:between w:val="nil"/>
        </w:pBdr>
        <w:tabs>
          <w:tab w:val="left" w:pos="3061"/>
        </w:tabs>
        <w:spacing w:before="128" w:after="0" w:line="240" w:lineRule="auto"/>
        <w:ind w:left="567" w:right="1151" w:hanging="284"/>
        <w:jc w:val="both"/>
        <w:rPr>
          <w:color w:val="000000"/>
        </w:rPr>
      </w:pPr>
      <w:r>
        <w:rPr>
          <w:rFonts w:ascii="Times New Roman" w:eastAsia="Times New Roman" w:hAnsi="Times New Roman" w:cs="Times New Roman"/>
          <w:color w:val="000000"/>
          <w:sz w:val="20"/>
          <w:szCs w:val="20"/>
        </w:rPr>
        <w:t>Cargo e institución donde labora: Consultor en Gestión del Riesgo de Desastres, PNUD en alianza con PCM</w:t>
      </w:r>
    </w:p>
    <w:p w14:paraId="0E2AEFF2" w14:textId="77777777" w:rsidR="00657D48" w:rsidRDefault="003F3EEB">
      <w:pPr>
        <w:widowControl w:val="0"/>
        <w:numPr>
          <w:ilvl w:val="1"/>
          <w:numId w:val="3"/>
        </w:numPr>
        <w:pBdr>
          <w:top w:val="nil"/>
          <w:left w:val="nil"/>
          <w:bottom w:val="nil"/>
          <w:right w:val="nil"/>
          <w:between w:val="nil"/>
        </w:pBdr>
        <w:tabs>
          <w:tab w:val="left" w:pos="2700"/>
          <w:tab w:val="left" w:pos="2701"/>
        </w:tabs>
        <w:spacing w:before="171" w:after="0" w:line="240" w:lineRule="auto"/>
        <w:ind w:left="284" w:hanging="284"/>
        <w:jc w:val="both"/>
        <w:rPr>
          <w:color w:val="000000"/>
        </w:rPr>
      </w:pPr>
      <w:r>
        <w:rPr>
          <w:rFonts w:ascii="Times New Roman" w:eastAsia="Times New Roman" w:hAnsi="Times New Roman" w:cs="Times New Roman"/>
          <w:b/>
          <w:color w:val="000000"/>
          <w:sz w:val="20"/>
          <w:szCs w:val="20"/>
        </w:rPr>
        <w:t>DATOS DEL TESISTA:</w:t>
      </w:r>
    </w:p>
    <w:p w14:paraId="2043CEAA" w14:textId="77777777" w:rsidR="00657D48" w:rsidRDefault="003F3EEB">
      <w:pPr>
        <w:widowControl w:val="0"/>
        <w:numPr>
          <w:ilvl w:val="1"/>
          <w:numId w:val="15"/>
        </w:numPr>
        <w:pBdr>
          <w:top w:val="nil"/>
          <w:left w:val="nil"/>
          <w:bottom w:val="nil"/>
          <w:right w:val="nil"/>
          <w:between w:val="nil"/>
        </w:pBdr>
        <w:tabs>
          <w:tab w:val="left" w:pos="3061"/>
        </w:tabs>
        <w:spacing w:before="164" w:after="0" w:line="240" w:lineRule="auto"/>
        <w:ind w:left="567" w:hanging="284"/>
        <w:rPr>
          <w:color w:val="000000"/>
        </w:rPr>
      </w:pPr>
      <w:r>
        <w:rPr>
          <w:rFonts w:ascii="Times New Roman" w:eastAsia="Times New Roman" w:hAnsi="Times New Roman" w:cs="Times New Roman"/>
          <w:color w:val="000000"/>
          <w:sz w:val="20"/>
          <w:szCs w:val="20"/>
        </w:rPr>
        <w:t>Apellidos y nombres: Gonzales Lara Miguel Antonio</w:t>
      </w:r>
    </w:p>
    <w:p w14:paraId="645C08A0" w14:textId="77777777" w:rsidR="00657D48" w:rsidRDefault="003F3EEB">
      <w:pPr>
        <w:widowControl w:val="0"/>
        <w:numPr>
          <w:ilvl w:val="1"/>
          <w:numId w:val="15"/>
        </w:numPr>
        <w:pBdr>
          <w:top w:val="nil"/>
          <w:left w:val="nil"/>
          <w:bottom w:val="nil"/>
          <w:right w:val="nil"/>
          <w:between w:val="nil"/>
        </w:pBdr>
        <w:tabs>
          <w:tab w:val="left" w:pos="3105"/>
        </w:tabs>
        <w:spacing w:before="128" w:after="0" w:line="240" w:lineRule="auto"/>
        <w:ind w:left="567" w:hanging="284"/>
        <w:rPr>
          <w:color w:val="000000"/>
        </w:rPr>
      </w:pPr>
      <w:r>
        <w:rPr>
          <w:rFonts w:ascii="Times New Roman" w:eastAsia="Times New Roman" w:hAnsi="Times New Roman" w:cs="Times New Roman"/>
          <w:color w:val="000000"/>
          <w:sz w:val="20"/>
          <w:szCs w:val="20"/>
        </w:rPr>
        <w:t>Maestría: II Maestría en GRD</w:t>
      </w:r>
    </w:p>
    <w:p w14:paraId="39C3DD28" w14:textId="77777777" w:rsidR="00657D48" w:rsidRDefault="003F3EEB">
      <w:pPr>
        <w:widowControl w:val="0"/>
        <w:numPr>
          <w:ilvl w:val="1"/>
          <w:numId w:val="3"/>
        </w:numPr>
        <w:pBdr>
          <w:top w:val="nil"/>
          <w:left w:val="nil"/>
          <w:bottom w:val="nil"/>
          <w:right w:val="nil"/>
          <w:between w:val="nil"/>
        </w:pBdr>
        <w:tabs>
          <w:tab w:val="left" w:pos="2700"/>
          <w:tab w:val="left" w:pos="2701"/>
        </w:tabs>
        <w:spacing w:before="169" w:after="0" w:line="240" w:lineRule="auto"/>
        <w:ind w:left="284" w:hanging="284"/>
        <w:rPr>
          <w:color w:val="000000"/>
        </w:rPr>
      </w:pPr>
      <w:r>
        <w:rPr>
          <w:rFonts w:ascii="Times New Roman" w:eastAsia="Times New Roman" w:hAnsi="Times New Roman" w:cs="Times New Roman"/>
          <w:b/>
          <w:color w:val="000000"/>
          <w:sz w:val="20"/>
          <w:szCs w:val="20"/>
        </w:rPr>
        <w:t>ASPECTOS DE VALIDACIÓN:</w:t>
      </w:r>
    </w:p>
    <w:tbl>
      <w:tblPr>
        <w:tblStyle w:val="afb"/>
        <w:tblW w:w="8640"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80"/>
        <w:gridCol w:w="2416"/>
        <w:gridCol w:w="1016"/>
        <w:gridCol w:w="888"/>
        <w:gridCol w:w="762"/>
        <w:gridCol w:w="762"/>
        <w:gridCol w:w="1016"/>
      </w:tblGrid>
      <w:tr w:rsidR="00657D48" w14:paraId="01ABA091" w14:textId="77777777">
        <w:trPr>
          <w:trHeight w:val="591"/>
        </w:trPr>
        <w:tc>
          <w:tcPr>
            <w:tcW w:w="1780" w:type="dxa"/>
            <w:shd w:val="clear" w:color="auto" w:fill="D9D9D9"/>
            <w:vAlign w:val="center"/>
          </w:tcPr>
          <w:p w14:paraId="2A082B1D"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INDICADORES</w:t>
            </w:r>
          </w:p>
        </w:tc>
        <w:tc>
          <w:tcPr>
            <w:tcW w:w="2416" w:type="dxa"/>
            <w:shd w:val="clear" w:color="auto" w:fill="D9D9D9"/>
            <w:vAlign w:val="center"/>
          </w:tcPr>
          <w:p w14:paraId="166ABA60"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CRITERIOS</w:t>
            </w:r>
          </w:p>
        </w:tc>
        <w:tc>
          <w:tcPr>
            <w:tcW w:w="1016" w:type="dxa"/>
            <w:shd w:val="clear" w:color="auto" w:fill="D9D9D9"/>
            <w:vAlign w:val="center"/>
          </w:tcPr>
          <w:p w14:paraId="177CA941"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Deficiente</w:t>
            </w:r>
          </w:p>
          <w:p w14:paraId="2475D4D1"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0-30%</w:t>
            </w:r>
          </w:p>
        </w:tc>
        <w:tc>
          <w:tcPr>
            <w:tcW w:w="888" w:type="dxa"/>
            <w:shd w:val="clear" w:color="auto" w:fill="D9D9D9"/>
            <w:vAlign w:val="center"/>
          </w:tcPr>
          <w:p w14:paraId="5772243A"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Regular</w:t>
            </w:r>
          </w:p>
          <w:p w14:paraId="50E497CA"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31-50%</w:t>
            </w:r>
          </w:p>
        </w:tc>
        <w:tc>
          <w:tcPr>
            <w:tcW w:w="762" w:type="dxa"/>
            <w:shd w:val="clear" w:color="auto" w:fill="D9D9D9"/>
            <w:vAlign w:val="center"/>
          </w:tcPr>
          <w:p w14:paraId="6CA00E9A"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Buena</w:t>
            </w:r>
          </w:p>
          <w:p w14:paraId="535D0B34"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51-70%</w:t>
            </w:r>
          </w:p>
        </w:tc>
        <w:tc>
          <w:tcPr>
            <w:tcW w:w="762" w:type="dxa"/>
            <w:shd w:val="clear" w:color="auto" w:fill="D9D9D9"/>
            <w:vAlign w:val="center"/>
          </w:tcPr>
          <w:p w14:paraId="33839B0A"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 xml:space="preserve">Muy Buena </w:t>
            </w:r>
          </w:p>
          <w:p w14:paraId="5ADF9D9B"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71-90%</w:t>
            </w:r>
          </w:p>
        </w:tc>
        <w:tc>
          <w:tcPr>
            <w:tcW w:w="1016" w:type="dxa"/>
            <w:shd w:val="clear" w:color="auto" w:fill="D9D9D9"/>
            <w:vAlign w:val="center"/>
          </w:tcPr>
          <w:p w14:paraId="4FAE2E61"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Excelente</w:t>
            </w:r>
          </w:p>
          <w:p w14:paraId="68362EBB"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91-100%</w:t>
            </w:r>
          </w:p>
        </w:tc>
      </w:tr>
      <w:tr w:rsidR="00657D48" w14:paraId="310BEF97" w14:textId="77777777">
        <w:trPr>
          <w:trHeight w:val="389"/>
        </w:trPr>
        <w:tc>
          <w:tcPr>
            <w:tcW w:w="1780" w:type="dxa"/>
            <w:vAlign w:val="center"/>
          </w:tcPr>
          <w:p w14:paraId="303B8BFB"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CLARIDAD</w:t>
            </w:r>
          </w:p>
        </w:tc>
        <w:tc>
          <w:tcPr>
            <w:tcW w:w="2416" w:type="dxa"/>
            <w:vAlign w:val="center"/>
          </w:tcPr>
          <w:p w14:paraId="7775E397"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Esta formulado con lenguaje apropiado</w:t>
            </w:r>
          </w:p>
        </w:tc>
        <w:tc>
          <w:tcPr>
            <w:tcW w:w="1016" w:type="dxa"/>
          </w:tcPr>
          <w:p w14:paraId="00A90CAC"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7057DCDA"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75C08424"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759A4280"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90</w:t>
            </w:r>
          </w:p>
        </w:tc>
        <w:tc>
          <w:tcPr>
            <w:tcW w:w="1016" w:type="dxa"/>
            <w:vAlign w:val="center"/>
          </w:tcPr>
          <w:p w14:paraId="39F61838"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223FF56E" w14:textId="77777777">
        <w:trPr>
          <w:trHeight w:val="389"/>
        </w:trPr>
        <w:tc>
          <w:tcPr>
            <w:tcW w:w="1780" w:type="dxa"/>
            <w:vAlign w:val="center"/>
          </w:tcPr>
          <w:p w14:paraId="31F34621"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OBJETIVIDAD</w:t>
            </w:r>
          </w:p>
        </w:tc>
        <w:tc>
          <w:tcPr>
            <w:tcW w:w="2416" w:type="dxa"/>
            <w:vAlign w:val="center"/>
          </w:tcPr>
          <w:p w14:paraId="5CD62465"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Esta expresado en conductas observables</w:t>
            </w:r>
          </w:p>
        </w:tc>
        <w:tc>
          <w:tcPr>
            <w:tcW w:w="1016" w:type="dxa"/>
          </w:tcPr>
          <w:p w14:paraId="1E3F30AD"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793B2B98"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6E0462BF"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394D3565"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85</w:t>
            </w:r>
          </w:p>
        </w:tc>
        <w:tc>
          <w:tcPr>
            <w:tcW w:w="1016" w:type="dxa"/>
            <w:vAlign w:val="center"/>
          </w:tcPr>
          <w:p w14:paraId="62062ED8"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5E4292E6" w14:textId="77777777">
        <w:trPr>
          <w:trHeight w:val="389"/>
        </w:trPr>
        <w:tc>
          <w:tcPr>
            <w:tcW w:w="1780" w:type="dxa"/>
            <w:vAlign w:val="center"/>
          </w:tcPr>
          <w:p w14:paraId="0AB73217"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ACTUALIDAD</w:t>
            </w:r>
          </w:p>
        </w:tc>
        <w:tc>
          <w:tcPr>
            <w:tcW w:w="2416" w:type="dxa"/>
            <w:vAlign w:val="center"/>
          </w:tcPr>
          <w:p w14:paraId="31094784"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Adecuado al avance de la ciencia y tecnología</w:t>
            </w:r>
          </w:p>
        </w:tc>
        <w:tc>
          <w:tcPr>
            <w:tcW w:w="1016" w:type="dxa"/>
          </w:tcPr>
          <w:p w14:paraId="4C095E68"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1E779240"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6C326C40"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656FCCA2"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85</w:t>
            </w:r>
          </w:p>
        </w:tc>
        <w:tc>
          <w:tcPr>
            <w:tcW w:w="1016" w:type="dxa"/>
            <w:vAlign w:val="center"/>
          </w:tcPr>
          <w:p w14:paraId="0D0A4696"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151DE7C0" w14:textId="77777777">
        <w:trPr>
          <w:trHeight w:val="254"/>
        </w:trPr>
        <w:tc>
          <w:tcPr>
            <w:tcW w:w="1780" w:type="dxa"/>
            <w:vAlign w:val="center"/>
          </w:tcPr>
          <w:p w14:paraId="3B0A7A6A"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ORGANIZACION</w:t>
            </w:r>
          </w:p>
        </w:tc>
        <w:tc>
          <w:tcPr>
            <w:tcW w:w="2416" w:type="dxa"/>
            <w:vAlign w:val="center"/>
          </w:tcPr>
          <w:p w14:paraId="1C070DD3"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Existe una organización lógica</w:t>
            </w:r>
          </w:p>
        </w:tc>
        <w:tc>
          <w:tcPr>
            <w:tcW w:w="1016" w:type="dxa"/>
          </w:tcPr>
          <w:p w14:paraId="55AA1EE8"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7A70A084"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4DCAD9EB"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7A16F0D9"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5D22A4EC"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351857DC" w14:textId="77777777">
        <w:trPr>
          <w:trHeight w:val="389"/>
        </w:trPr>
        <w:tc>
          <w:tcPr>
            <w:tcW w:w="1780" w:type="dxa"/>
            <w:vAlign w:val="center"/>
          </w:tcPr>
          <w:p w14:paraId="37506773"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SUFICIENCIA</w:t>
            </w:r>
          </w:p>
        </w:tc>
        <w:tc>
          <w:tcPr>
            <w:tcW w:w="2416" w:type="dxa"/>
            <w:vAlign w:val="center"/>
          </w:tcPr>
          <w:p w14:paraId="229D712F"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Comprende los aspectos en cantidad y calidad</w:t>
            </w:r>
          </w:p>
        </w:tc>
        <w:tc>
          <w:tcPr>
            <w:tcW w:w="1016" w:type="dxa"/>
          </w:tcPr>
          <w:p w14:paraId="0D0BD9B7"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1AABF974"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528DA4EA"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1EFC93AE"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5ABA388D"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91</w:t>
            </w:r>
          </w:p>
        </w:tc>
      </w:tr>
      <w:tr w:rsidR="00657D48" w14:paraId="33183AD5" w14:textId="77777777">
        <w:trPr>
          <w:trHeight w:val="389"/>
        </w:trPr>
        <w:tc>
          <w:tcPr>
            <w:tcW w:w="1780" w:type="dxa"/>
            <w:vAlign w:val="center"/>
          </w:tcPr>
          <w:p w14:paraId="01EF5636"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INTENCIONALIDAD</w:t>
            </w:r>
          </w:p>
        </w:tc>
        <w:tc>
          <w:tcPr>
            <w:tcW w:w="2416" w:type="dxa"/>
            <w:vAlign w:val="center"/>
          </w:tcPr>
          <w:p w14:paraId="55CB0D70"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Adecuado para valorar aspectos de la investigación a realizar</w:t>
            </w:r>
          </w:p>
        </w:tc>
        <w:tc>
          <w:tcPr>
            <w:tcW w:w="1016" w:type="dxa"/>
          </w:tcPr>
          <w:p w14:paraId="69CF67E4"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54D17D61"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03C3CD21"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09A12B21"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0700570D"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3677EA93" w14:textId="77777777">
        <w:trPr>
          <w:trHeight w:val="389"/>
        </w:trPr>
        <w:tc>
          <w:tcPr>
            <w:tcW w:w="1780" w:type="dxa"/>
            <w:vAlign w:val="center"/>
          </w:tcPr>
          <w:p w14:paraId="4395BE31"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CONSISTENCIA</w:t>
            </w:r>
          </w:p>
        </w:tc>
        <w:tc>
          <w:tcPr>
            <w:tcW w:w="2416" w:type="dxa"/>
            <w:vAlign w:val="center"/>
          </w:tcPr>
          <w:p w14:paraId="62AE3C35"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Basado en aspectos teóricos científicos del tema de investigación</w:t>
            </w:r>
          </w:p>
        </w:tc>
        <w:tc>
          <w:tcPr>
            <w:tcW w:w="1016" w:type="dxa"/>
          </w:tcPr>
          <w:p w14:paraId="5148B85C"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6DD58BF8"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34678E2C"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03C6092D"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5F5AB8FF"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1E2E0B7E" w14:textId="77777777">
        <w:trPr>
          <w:trHeight w:val="389"/>
        </w:trPr>
        <w:tc>
          <w:tcPr>
            <w:tcW w:w="1780" w:type="dxa"/>
            <w:vAlign w:val="center"/>
          </w:tcPr>
          <w:p w14:paraId="316EDE5F"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COHERENCIA</w:t>
            </w:r>
          </w:p>
        </w:tc>
        <w:tc>
          <w:tcPr>
            <w:tcW w:w="2416" w:type="dxa"/>
            <w:vAlign w:val="center"/>
          </w:tcPr>
          <w:p w14:paraId="0555BB9B"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Entre dimensiones(si hubiera)ítems e índices</w:t>
            </w:r>
          </w:p>
        </w:tc>
        <w:tc>
          <w:tcPr>
            <w:tcW w:w="1016" w:type="dxa"/>
          </w:tcPr>
          <w:p w14:paraId="450ADBA9"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4C99BEA1"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41331755"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6012E07C"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90</w:t>
            </w:r>
          </w:p>
        </w:tc>
        <w:tc>
          <w:tcPr>
            <w:tcW w:w="1016" w:type="dxa"/>
            <w:vAlign w:val="center"/>
          </w:tcPr>
          <w:p w14:paraId="4F3ACF43"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14FAFFC4" w14:textId="77777777">
        <w:trPr>
          <w:trHeight w:val="403"/>
        </w:trPr>
        <w:tc>
          <w:tcPr>
            <w:tcW w:w="1780" w:type="dxa"/>
            <w:vAlign w:val="center"/>
          </w:tcPr>
          <w:p w14:paraId="677BA58E" w14:textId="77777777" w:rsidR="00657D48" w:rsidRDefault="003F3EEB">
            <w:pPr>
              <w:numPr>
                <w:ilvl w:val="0"/>
                <w:numId w:val="6"/>
              </w:numPr>
              <w:pBdr>
                <w:top w:val="nil"/>
                <w:left w:val="nil"/>
                <w:bottom w:val="nil"/>
                <w:right w:val="nil"/>
                <w:between w:val="nil"/>
              </w:pBdr>
              <w:spacing w:after="240" w:line="360" w:lineRule="auto"/>
              <w:ind w:left="175" w:hanging="175"/>
              <w:jc w:val="left"/>
              <w:rPr>
                <w:color w:val="000000"/>
                <w:sz w:val="16"/>
                <w:szCs w:val="16"/>
              </w:rPr>
            </w:pPr>
            <w:r>
              <w:rPr>
                <w:color w:val="000000"/>
                <w:sz w:val="16"/>
                <w:szCs w:val="16"/>
              </w:rPr>
              <w:t>METODOLOGIA</w:t>
            </w:r>
          </w:p>
        </w:tc>
        <w:tc>
          <w:tcPr>
            <w:tcW w:w="2416" w:type="dxa"/>
            <w:vAlign w:val="center"/>
          </w:tcPr>
          <w:p w14:paraId="0D8B2F0D"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La estrategia responde al propósito de la investigación</w:t>
            </w:r>
          </w:p>
        </w:tc>
        <w:tc>
          <w:tcPr>
            <w:tcW w:w="1016" w:type="dxa"/>
          </w:tcPr>
          <w:p w14:paraId="2F98BFDE"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12057FB1"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78006D2F"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436993A4"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4451E640"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4B3033E2" w14:textId="77777777">
        <w:trPr>
          <w:trHeight w:val="389"/>
        </w:trPr>
        <w:tc>
          <w:tcPr>
            <w:tcW w:w="1780" w:type="dxa"/>
            <w:vAlign w:val="center"/>
          </w:tcPr>
          <w:p w14:paraId="7C32C5DC" w14:textId="77777777" w:rsidR="00657D48" w:rsidRDefault="003F3EEB">
            <w:pPr>
              <w:numPr>
                <w:ilvl w:val="0"/>
                <w:numId w:val="6"/>
              </w:numPr>
              <w:pBdr>
                <w:top w:val="nil"/>
                <w:left w:val="nil"/>
                <w:bottom w:val="nil"/>
                <w:right w:val="nil"/>
                <w:between w:val="nil"/>
              </w:pBdr>
              <w:spacing w:after="240" w:line="360" w:lineRule="auto"/>
              <w:ind w:left="317" w:hanging="317"/>
              <w:jc w:val="left"/>
              <w:rPr>
                <w:color w:val="000000"/>
                <w:sz w:val="16"/>
                <w:szCs w:val="16"/>
              </w:rPr>
            </w:pPr>
            <w:r>
              <w:rPr>
                <w:color w:val="000000"/>
                <w:sz w:val="16"/>
                <w:szCs w:val="16"/>
              </w:rPr>
              <w:t>PERTINENCIA</w:t>
            </w:r>
          </w:p>
        </w:tc>
        <w:tc>
          <w:tcPr>
            <w:tcW w:w="2416" w:type="dxa"/>
            <w:vAlign w:val="center"/>
          </w:tcPr>
          <w:p w14:paraId="42DD89F3" w14:textId="77777777" w:rsidR="00657D48" w:rsidRDefault="003F3EEB">
            <w:pPr>
              <w:pBdr>
                <w:top w:val="nil"/>
                <w:left w:val="nil"/>
                <w:bottom w:val="nil"/>
                <w:right w:val="nil"/>
                <w:between w:val="nil"/>
              </w:pBdr>
              <w:spacing w:after="240" w:line="360" w:lineRule="auto"/>
              <w:rPr>
                <w:color w:val="000000"/>
                <w:sz w:val="16"/>
                <w:szCs w:val="16"/>
              </w:rPr>
            </w:pPr>
            <w:r>
              <w:rPr>
                <w:color w:val="000000"/>
                <w:sz w:val="16"/>
                <w:szCs w:val="16"/>
              </w:rPr>
              <w:t>El instrumento es el adecuado para el propósito de la investigación</w:t>
            </w:r>
          </w:p>
        </w:tc>
        <w:tc>
          <w:tcPr>
            <w:tcW w:w="1016" w:type="dxa"/>
          </w:tcPr>
          <w:p w14:paraId="48020106" w14:textId="77777777" w:rsidR="00657D48" w:rsidRDefault="00657D48">
            <w:pPr>
              <w:pBdr>
                <w:top w:val="nil"/>
                <w:left w:val="nil"/>
                <w:bottom w:val="nil"/>
                <w:right w:val="nil"/>
                <w:between w:val="nil"/>
              </w:pBdr>
              <w:spacing w:after="240" w:line="360" w:lineRule="auto"/>
              <w:jc w:val="left"/>
              <w:rPr>
                <w:color w:val="000000"/>
              </w:rPr>
            </w:pPr>
          </w:p>
        </w:tc>
        <w:tc>
          <w:tcPr>
            <w:tcW w:w="888" w:type="dxa"/>
          </w:tcPr>
          <w:p w14:paraId="0FEE238A" w14:textId="77777777" w:rsidR="00657D48" w:rsidRDefault="00657D48">
            <w:pPr>
              <w:pBdr>
                <w:top w:val="nil"/>
                <w:left w:val="nil"/>
                <w:bottom w:val="nil"/>
                <w:right w:val="nil"/>
                <w:between w:val="nil"/>
              </w:pBdr>
              <w:spacing w:after="240" w:line="360" w:lineRule="auto"/>
              <w:jc w:val="left"/>
              <w:rPr>
                <w:color w:val="000000"/>
              </w:rPr>
            </w:pPr>
          </w:p>
        </w:tc>
        <w:tc>
          <w:tcPr>
            <w:tcW w:w="762" w:type="dxa"/>
          </w:tcPr>
          <w:p w14:paraId="3DD62F3D" w14:textId="77777777" w:rsidR="00657D48" w:rsidRDefault="00657D48">
            <w:pPr>
              <w:pBdr>
                <w:top w:val="nil"/>
                <w:left w:val="nil"/>
                <w:bottom w:val="nil"/>
                <w:right w:val="nil"/>
                <w:between w:val="nil"/>
              </w:pBdr>
              <w:spacing w:after="240" w:line="360" w:lineRule="auto"/>
              <w:jc w:val="left"/>
              <w:rPr>
                <w:color w:val="000000"/>
              </w:rPr>
            </w:pPr>
          </w:p>
        </w:tc>
        <w:tc>
          <w:tcPr>
            <w:tcW w:w="762" w:type="dxa"/>
            <w:vAlign w:val="center"/>
          </w:tcPr>
          <w:p w14:paraId="5CDF0349"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1016" w:type="dxa"/>
            <w:vAlign w:val="center"/>
          </w:tcPr>
          <w:p w14:paraId="728DF656"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bl>
    <w:p w14:paraId="13433BA6" w14:textId="77777777" w:rsidR="00657D48" w:rsidRDefault="00657D48">
      <w:pPr>
        <w:widowControl w:val="0"/>
        <w:pBdr>
          <w:top w:val="nil"/>
          <w:left w:val="nil"/>
          <w:bottom w:val="nil"/>
          <w:right w:val="nil"/>
          <w:between w:val="nil"/>
        </w:pBdr>
        <w:tabs>
          <w:tab w:val="left" w:pos="2700"/>
          <w:tab w:val="left" w:pos="2701"/>
        </w:tabs>
        <w:spacing w:before="169" w:after="0" w:line="240" w:lineRule="auto"/>
        <w:ind w:left="2701"/>
        <w:rPr>
          <w:rFonts w:ascii="Times New Roman" w:eastAsia="Times New Roman" w:hAnsi="Times New Roman" w:cs="Times New Roman"/>
          <w:b/>
          <w:color w:val="000000"/>
          <w:sz w:val="16"/>
          <w:szCs w:val="16"/>
        </w:rPr>
      </w:pPr>
    </w:p>
    <w:p w14:paraId="1553FAEA" w14:textId="77777777" w:rsidR="00657D48" w:rsidRDefault="003F3EEB">
      <w:pPr>
        <w:widowControl w:val="0"/>
        <w:numPr>
          <w:ilvl w:val="1"/>
          <w:numId w:val="3"/>
        </w:numPr>
        <w:pBdr>
          <w:top w:val="nil"/>
          <w:left w:val="nil"/>
          <w:bottom w:val="nil"/>
          <w:right w:val="nil"/>
          <w:between w:val="nil"/>
        </w:pBdr>
        <w:spacing w:after="0" w:line="240" w:lineRule="auto"/>
        <w:ind w:left="284" w:hanging="284"/>
        <w:rPr>
          <w:color w:val="000000"/>
        </w:rPr>
      </w:pPr>
      <w:r>
        <w:rPr>
          <w:rFonts w:ascii="Times New Roman" w:eastAsia="Times New Roman" w:hAnsi="Times New Roman" w:cs="Times New Roman"/>
          <w:b/>
          <w:color w:val="000000"/>
          <w:sz w:val="20"/>
          <w:szCs w:val="20"/>
        </w:rPr>
        <w:t>PROMEDIO DE LA VALORACIÓN: 91.6%</w:t>
      </w:r>
    </w:p>
    <w:p w14:paraId="51CDB1E8" w14:textId="77777777" w:rsidR="00657D48" w:rsidRDefault="003F3EEB">
      <w:pPr>
        <w:widowControl w:val="0"/>
        <w:numPr>
          <w:ilvl w:val="1"/>
          <w:numId w:val="3"/>
        </w:numPr>
        <w:pBdr>
          <w:top w:val="nil"/>
          <w:left w:val="nil"/>
          <w:bottom w:val="nil"/>
          <w:right w:val="nil"/>
          <w:between w:val="nil"/>
        </w:pBdr>
        <w:spacing w:after="0" w:line="240" w:lineRule="auto"/>
        <w:ind w:left="284" w:hanging="284"/>
        <w:rPr>
          <w:color w:val="000000"/>
        </w:rPr>
      </w:pPr>
      <w:r>
        <w:rPr>
          <w:rFonts w:ascii="Times New Roman" w:eastAsia="Times New Roman" w:hAnsi="Times New Roman" w:cs="Times New Roman"/>
          <w:b/>
          <w:color w:val="000000"/>
          <w:sz w:val="20"/>
          <w:szCs w:val="20"/>
        </w:rPr>
        <w:t>INFORME DE APLICABILIDAD:</w:t>
      </w:r>
    </w:p>
    <w:p w14:paraId="5B2EF562" w14:textId="77777777" w:rsidR="00657D48" w:rsidRDefault="003F3EEB">
      <w:pPr>
        <w:spacing w:before="172" w:after="0"/>
        <w:ind w:left="284" w:hanging="284"/>
        <w:rPr>
          <w:rFonts w:ascii="Times New Roman" w:eastAsia="Times New Roman" w:hAnsi="Times New Roman" w:cs="Times New Roman"/>
          <w:sz w:val="20"/>
          <w:szCs w:val="20"/>
        </w:rPr>
      </w:pPr>
      <w:r>
        <w:rPr>
          <w:rFonts w:ascii="Times New Roman" w:eastAsia="Times New Roman" w:hAnsi="Times New Roman" w:cs="Times New Roman"/>
          <w:sz w:val="20"/>
          <w:szCs w:val="20"/>
        </w:rPr>
        <w:t>(…) El instrumento puede ser aplicado, tal como está elaborado</w:t>
      </w:r>
    </w:p>
    <w:p w14:paraId="3388A438" w14:textId="77777777" w:rsidR="00657D48" w:rsidRDefault="003F3EEB">
      <w:pPr>
        <w:spacing w:after="0"/>
        <w:ind w:left="284" w:hanging="284"/>
        <w:rPr>
          <w:rFonts w:ascii="Times New Roman" w:eastAsia="Times New Roman" w:hAnsi="Times New Roman" w:cs="Times New Roman"/>
          <w:sz w:val="20"/>
          <w:szCs w:val="20"/>
        </w:rPr>
      </w:pPr>
      <w:r>
        <w:rPr>
          <w:rFonts w:ascii="Times New Roman" w:eastAsia="Times New Roman" w:hAnsi="Times New Roman" w:cs="Times New Roman"/>
          <w:sz w:val="20"/>
          <w:szCs w:val="20"/>
        </w:rPr>
        <w:t>(X</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El instrumento debe ser mejorado de forma en algunas preguntas (4) antes de ser aplicado.</w:t>
      </w:r>
    </w:p>
    <w:p w14:paraId="1C10B63D" w14:textId="77777777" w:rsidR="00657D48" w:rsidRDefault="003F3EEB">
      <w:pPr>
        <w:spacing w:before="176"/>
        <w:rPr>
          <w:rFonts w:ascii="Times New Roman" w:eastAsia="Times New Roman" w:hAnsi="Times New Roman" w:cs="Times New Roman"/>
          <w:sz w:val="20"/>
          <w:szCs w:val="20"/>
        </w:rPr>
      </w:pPr>
      <w:r>
        <w:rPr>
          <w:rFonts w:ascii="Times New Roman" w:eastAsia="Times New Roman" w:hAnsi="Times New Roman" w:cs="Times New Roman"/>
          <w:sz w:val="20"/>
          <w:szCs w:val="20"/>
        </w:rPr>
        <w:t>Ciudad de Lima, 06 de abril del 2021.</w:t>
      </w:r>
      <w:r>
        <w:rPr>
          <w:noProof/>
        </w:rPr>
        <mc:AlternateContent>
          <mc:Choice Requires="wps">
            <w:drawing>
              <wp:anchor distT="0" distB="0" distL="114300" distR="114300" simplePos="0" relativeHeight="251675648" behindDoc="0" locked="0" layoutInCell="1" hidden="0" allowOverlap="1" wp14:anchorId="117D453C" wp14:editId="0DD5C9FE">
                <wp:simplePos x="0" y="0"/>
                <wp:positionH relativeFrom="column">
                  <wp:posOffset>3248025</wp:posOffset>
                </wp:positionH>
                <wp:positionV relativeFrom="paragraph">
                  <wp:posOffset>254000</wp:posOffset>
                </wp:positionV>
                <wp:extent cx="1981200" cy="1133475"/>
                <wp:effectExtent l="0" t="0" r="0" b="9525"/>
                <wp:wrapNone/>
                <wp:docPr id="4" name="Cuadro de texto 4"/>
                <wp:cNvGraphicFramePr/>
                <a:graphic xmlns:a="http://schemas.openxmlformats.org/drawingml/2006/main">
                  <a:graphicData uri="http://schemas.microsoft.com/office/word/2010/wordprocessingShape">
                    <wps:wsp>
                      <wps:cNvSpPr txBox="1"/>
                      <wps:spPr>
                        <a:xfrm>
                          <a:off x="0" y="0"/>
                          <a:ext cx="1981200" cy="1133475"/>
                        </a:xfrm>
                        <a:prstGeom prst="rect">
                          <a:avLst/>
                        </a:prstGeom>
                        <a:solidFill>
                          <a:schemeClr val="lt1"/>
                        </a:solidFill>
                        <a:ln w="6350">
                          <a:noFill/>
                        </a:ln>
                      </wps:spPr>
                      <wps:txbx>
                        <w:txbxContent>
                          <w:p w14:paraId="626C8B08" w14:textId="77777777" w:rsidR="002D22AA" w:rsidRPr="007E757C" w:rsidRDefault="002D22AA" w:rsidP="003F3EEB">
                            <w:pPr>
                              <w:spacing w:after="0" w:line="240" w:lineRule="auto"/>
                              <w:rPr>
                                <w:rFonts w:cstheme="minorHAnsi"/>
                                <w:sz w:val="16"/>
                                <w:lang w:val="es-MX"/>
                              </w:rPr>
                            </w:pPr>
                            <w:r w:rsidRPr="007E757C">
                              <w:rPr>
                                <w:rFonts w:cstheme="minorHAnsi"/>
                                <w:sz w:val="16"/>
                                <w:lang w:val="es-MX"/>
                              </w:rPr>
                              <w:t xml:space="preserve">                            </w:t>
                            </w:r>
                            <w:r w:rsidRPr="007E757C">
                              <w:rPr>
                                <w:noProof/>
                                <w:sz w:val="20"/>
                              </w:rPr>
                              <w:drawing>
                                <wp:inline distT="0" distB="0" distL="0" distR="0" wp14:anchorId="58C23D5C" wp14:editId="2EB8DED8">
                                  <wp:extent cx="1538605" cy="381000"/>
                                  <wp:effectExtent l="0" t="0" r="4445" b="0"/>
                                  <wp:docPr id="47"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70" cstate="print"/>
                                          <a:stretch>
                                            <a:fillRect/>
                                          </a:stretch>
                                        </pic:blipFill>
                                        <pic:spPr>
                                          <a:xfrm>
                                            <a:off x="0" y="0"/>
                                            <a:ext cx="1538605" cy="381000"/>
                                          </a:xfrm>
                                          <a:prstGeom prst="rect">
                                            <a:avLst/>
                                          </a:prstGeom>
                                        </pic:spPr>
                                      </pic:pic>
                                    </a:graphicData>
                                  </a:graphic>
                                </wp:inline>
                              </w:drawing>
                            </w:r>
                          </w:p>
                          <w:p w14:paraId="791E8DD7" w14:textId="77777777" w:rsidR="002D22AA" w:rsidRPr="007E757C" w:rsidRDefault="002D22AA" w:rsidP="003F3EEB">
                            <w:pPr>
                              <w:jc w:val="center"/>
                              <w:rPr>
                                <w:rFonts w:cstheme="minorHAnsi"/>
                                <w:b/>
                                <w:sz w:val="16"/>
                              </w:rPr>
                            </w:pPr>
                            <w:r w:rsidRPr="007E757C">
                              <w:rPr>
                                <w:rFonts w:cstheme="minorHAnsi"/>
                                <w:b/>
                                <w:sz w:val="16"/>
                              </w:rPr>
                              <w:t>WILFREDO RICARDO SAMANAMU DIAZ DNI N°06754129 TELEFONO N° 945599905</w:t>
                            </w:r>
                          </w:p>
                          <w:p w14:paraId="24346C71" w14:textId="77777777" w:rsidR="002D22AA" w:rsidRPr="007E757C" w:rsidRDefault="002D22AA" w:rsidP="003F3EEB">
                            <w:pPr>
                              <w:rPr>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7D453C" id="Cuadro de texto 4" o:spid="_x0000_s1029" type="#_x0000_t202" style="position:absolute;margin-left:255.75pt;margin-top:20pt;width:156pt;height:89.2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" fillcolor="white [3201]" stroked="f" strokeweight=".5pt">
                <v:textbox>
                  <w:txbxContent>
                    <w:p w14:paraId="626C8B08" w14:textId="77777777" w:rsidR="002D22AA" w:rsidRPr="007E757C" w:rsidRDefault="002D22AA" w:rsidP="003F3EEB">
                      <w:pPr>
                        <w:spacing w:after="0" w:line="240" w:lineRule="auto"/>
                        <w:rPr>
                          <w:rFonts w:cstheme="minorHAnsi"/>
                          <w:sz w:val="16"/>
                          <w:lang w:val="es-MX"/>
                        </w:rPr>
                      </w:pPr>
                      <w:r w:rsidRPr="007E757C">
                        <w:rPr>
                          <w:rFonts w:cstheme="minorHAnsi"/>
                          <w:sz w:val="16"/>
                          <w:lang w:val="es-MX"/>
                        </w:rPr>
                        <w:t xml:space="preserve">                            </w:t>
                      </w:r>
                      <w:r w:rsidRPr="007E757C">
                        <w:rPr>
                          <w:noProof/>
                          <w:sz w:val="20"/>
                        </w:rPr>
                        <w:drawing>
                          <wp:inline distT="0" distB="0" distL="0" distR="0" wp14:anchorId="58C23D5C" wp14:editId="2EB8DED8">
                            <wp:extent cx="1538605" cy="381000"/>
                            <wp:effectExtent l="0" t="0" r="4445" b="0"/>
                            <wp:docPr id="47"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70" cstate="print"/>
                                    <a:stretch>
                                      <a:fillRect/>
                                    </a:stretch>
                                  </pic:blipFill>
                                  <pic:spPr>
                                    <a:xfrm>
                                      <a:off x="0" y="0"/>
                                      <a:ext cx="1538605" cy="381000"/>
                                    </a:xfrm>
                                    <a:prstGeom prst="rect">
                                      <a:avLst/>
                                    </a:prstGeom>
                                  </pic:spPr>
                                </pic:pic>
                              </a:graphicData>
                            </a:graphic>
                          </wp:inline>
                        </w:drawing>
                      </w:r>
                    </w:p>
                    <w:p w14:paraId="791E8DD7" w14:textId="77777777" w:rsidR="002D22AA" w:rsidRPr="007E757C" w:rsidRDefault="002D22AA" w:rsidP="003F3EEB">
                      <w:pPr>
                        <w:jc w:val="center"/>
                        <w:rPr>
                          <w:rFonts w:cstheme="minorHAnsi"/>
                          <w:b/>
                          <w:sz w:val="16"/>
                        </w:rPr>
                      </w:pPr>
                      <w:r w:rsidRPr="007E757C">
                        <w:rPr>
                          <w:rFonts w:cstheme="minorHAnsi"/>
                          <w:b/>
                          <w:sz w:val="16"/>
                        </w:rPr>
                        <w:t>WILFREDO RICARDO SAMANAMU DIAZ DNI N°06754129 TELEFONO N° 945599905</w:t>
                      </w:r>
                    </w:p>
                    <w:p w14:paraId="24346C71" w14:textId="77777777" w:rsidR="002D22AA" w:rsidRPr="007E757C" w:rsidRDefault="002D22AA" w:rsidP="003F3EEB">
                      <w:pPr>
                        <w:rPr>
                          <w:sz w:val="20"/>
                        </w:rPr>
                      </w:pPr>
                    </w:p>
                  </w:txbxContent>
                </v:textbox>
              </v:shape>
            </w:pict>
          </mc:Fallback>
        </mc:AlternateContent>
      </w:r>
    </w:p>
    <w:p w14:paraId="482BF6FC" w14:textId="77777777" w:rsidR="00657D48" w:rsidRDefault="00657D48">
      <w:pPr>
        <w:tabs>
          <w:tab w:val="left" w:pos="8222"/>
        </w:tabs>
        <w:spacing w:line="240" w:lineRule="auto"/>
        <w:rPr>
          <w:rFonts w:ascii="Times New Roman" w:eastAsia="Times New Roman" w:hAnsi="Times New Roman" w:cs="Times New Roman"/>
        </w:rPr>
      </w:pPr>
    </w:p>
    <w:p w14:paraId="59AEFD8F" w14:textId="77777777" w:rsidR="00657D48" w:rsidRDefault="00657D48">
      <w:pPr>
        <w:tabs>
          <w:tab w:val="left" w:pos="8222"/>
        </w:tabs>
        <w:spacing w:line="240" w:lineRule="auto"/>
        <w:rPr>
          <w:rFonts w:ascii="Times New Roman" w:eastAsia="Times New Roman" w:hAnsi="Times New Roman" w:cs="Times New Roman"/>
        </w:rPr>
      </w:pPr>
    </w:p>
    <w:p w14:paraId="294232E3" w14:textId="77777777" w:rsidR="00657D48" w:rsidRDefault="00657D48">
      <w:pPr>
        <w:tabs>
          <w:tab w:val="left" w:pos="8222"/>
        </w:tabs>
        <w:spacing w:line="240" w:lineRule="auto"/>
        <w:rPr>
          <w:rFonts w:ascii="Times New Roman" w:eastAsia="Times New Roman" w:hAnsi="Times New Roman" w:cs="Times New Roman"/>
        </w:rPr>
      </w:pPr>
    </w:p>
    <w:p w14:paraId="6BA7036E" w14:textId="6D4C955E" w:rsidR="00657D48" w:rsidRDefault="00657D48">
      <w:pPr>
        <w:jc w:val="center"/>
        <w:rPr>
          <w:rFonts w:ascii="Times New Roman" w:eastAsia="Times New Roman" w:hAnsi="Times New Roman" w:cs="Times New Roman"/>
          <w:b/>
          <w:sz w:val="20"/>
          <w:szCs w:val="20"/>
          <w:u w:val="single"/>
        </w:rPr>
      </w:pPr>
    </w:p>
    <w:p w14:paraId="2E0B1EC7" w14:textId="7BA873DC" w:rsidR="00002988" w:rsidRDefault="00002988">
      <w:pPr>
        <w:jc w:val="center"/>
        <w:rPr>
          <w:rFonts w:ascii="Times New Roman" w:eastAsia="Times New Roman" w:hAnsi="Times New Roman" w:cs="Times New Roman"/>
          <w:b/>
          <w:sz w:val="20"/>
          <w:szCs w:val="20"/>
          <w:u w:val="single"/>
        </w:rPr>
      </w:pPr>
    </w:p>
    <w:p w14:paraId="0871A846" w14:textId="0B5147E5" w:rsidR="00002988" w:rsidRDefault="00002988">
      <w:pPr>
        <w:jc w:val="center"/>
        <w:rPr>
          <w:rFonts w:ascii="Times New Roman" w:eastAsia="Times New Roman" w:hAnsi="Times New Roman" w:cs="Times New Roman"/>
          <w:b/>
          <w:sz w:val="20"/>
          <w:szCs w:val="20"/>
          <w:u w:val="single"/>
        </w:rPr>
      </w:pPr>
    </w:p>
    <w:p w14:paraId="483FD416" w14:textId="53B83D29" w:rsidR="00002988" w:rsidRDefault="00002988">
      <w:pPr>
        <w:jc w:val="center"/>
        <w:rPr>
          <w:rFonts w:ascii="Times New Roman" w:eastAsia="Times New Roman" w:hAnsi="Times New Roman" w:cs="Times New Roman"/>
          <w:b/>
          <w:sz w:val="20"/>
          <w:szCs w:val="20"/>
          <w:u w:val="single"/>
        </w:rPr>
      </w:pPr>
    </w:p>
    <w:p w14:paraId="5E0F40AF" w14:textId="0A315DE8" w:rsidR="00002988" w:rsidRDefault="00002988">
      <w:pPr>
        <w:jc w:val="center"/>
        <w:rPr>
          <w:rFonts w:ascii="Times New Roman" w:eastAsia="Times New Roman" w:hAnsi="Times New Roman" w:cs="Times New Roman"/>
          <w:b/>
          <w:sz w:val="20"/>
          <w:szCs w:val="20"/>
          <w:u w:val="single"/>
        </w:rPr>
      </w:pPr>
    </w:p>
    <w:p w14:paraId="22EC4913" w14:textId="5DBC35CB" w:rsidR="00002988" w:rsidRDefault="00002988">
      <w:pPr>
        <w:jc w:val="center"/>
        <w:rPr>
          <w:rFonts w:ascii="Times New Roman" w:eastAsia="Times New Roman" w:hAnsi="Times New Roman" w:cs="Times New Roman"/>
          <w:b/>
          <w:sz w:val="20"/>
          <w:szCs w:val="20"/>
          <w:u w:val="single"/>
        </w:rPr>
      </w:pPr>
    </w:p>
    <w:p w14:paraId="1868890F" w14:textId="7D5ED5E5" w:rsidR="00002988" w:rsidRDefault="00002988">
      <w:pPr>
        <w:jc w:val="center"/>
        <w:rPr>
          <w:rFonts w:ascii="Times New Roman" w:eastAsia="Times New Roman" w:hAnsi="Times New Roman" w:cs="Times New Roman"/>
          <w:b/>
          <w:sz w:val="20"/>
          <w:szCs w:val="20"/>
          <w:u w:val="single"/>
        </w:rPr>
      </w:pPr>
    </w:p>
    <w:p w14:paraId="3A409D0A" w14:textId="5BD5635F" w:rsidR="00002988" w:rsidRDefault="00002988">
      <w:pPr>
        <w:jc w:val="center"/>
        <w:rPr>
          <w:rFonts w:ascii="Times New Roman" w:eastAsia="Times New Roman" w:hAnsi="Times New Roman" w:cs="Times New Roman"/>
          <w:b/>
          <w:sz w:val="20"/>
          <w:szCs w:val="20"/>
          <w:u w:val="single"/>
        </w:rPr>
      </w:pPr>
    </w:p>
    <w:p w14:paraId="24520C14" w14:textId="7AA62990" w:rsidR="00002988" w:rsidRDefault="00002988">
      <w:pPr>
        <w:jc w:val="center"/>
        <w:rPr>
          <w:rFonts w:ascii="Times New Roman" w:eastAsia="Times New Roman" w:hAnsi="Times New Roman" w:cs="Times New Roman"/>
          <w:b/>
          <w:sz w:val="20"/>
          <w:szCs w:val="20"/>
          <w:u w:val="single"/>
        </w:rPr>
      </w:pPr>
    </w:p>
    <w:p w14:paraId="53957265" w14:textId="27527AEA" w:rsidR="00002988" w:rsidRDefault="00002988">
      <w:pPr>
        <w:jc w:val="center"/>
        <w:rPr>
          <w:rFonts w:ascii="Times New Roman" w:eastAsia="Times New Roman" w:hAnsi="Times New Roman" w:cs="Times New Roman"/>
          <w:b/>
          <w:sz w:val="20"/>
          <w:szCs w:val="20"/>
          <w:u w:val="single"/>
        </w:rPr>
      </w:pPr>
    </w:p>
    <w:p w14:paraId="22421DE7" w14:textId="5D81F7EA" w:rsidR="00002988" w:rsidRDefault="00002988">
      <w:pPr>
        <w:jc w:val="center"/>
        <w:rPr>
          <w:rFonts w:ascii="Times New Roman" w:eastAsia="Times New Roman" w:hAnsi="Times New Roman" w:cs="Times New Roman"/>
          <w:b/>
          <w:sz w:val="20"/>
          <w:szCs w:val="20"/>
          <w:u w:val="single"/>
        </w:rPr>
      </w:pPr>
    </w:p>
    <w:p w14:paraId="5E10B368" w14:textId="41BF9019" w:rsidR="00002988" w:rsidRDefault="00002988">
      <w:pPr>
        <w:jc w:val="center"/>
        <w:rPr>
          <w:rFonts w:ascii="Times New Roman" w:eastAsia="Times New Roman" w:hAnsi="Times New Roman" w:cs="Times New Roman"/>
          <w:b/>
          <w:sz w:val="20"/>
          <w:szCs w:val="20"/>
          <w:u w:val="single"/>
        </w:rPr>
      </w:pPr>
    </w:p>
    <w:p w14:paraId="6D07D776" w14:textId="60E1B58A" w:rsidR="00002988" w:rsidRDefault="00002988">
      <w:pPr>
        <w:jc w:val="center"/>
        <w:rPr>
          <w:rFonts w:ascii="Times New Roman" w:eastAsia="Times New Roman" w:hAnsi="Times New Roman" w:cs="Times New Roman"/>
          <w:b/>
          <w:sz w:val="20"/>
          <w:szCs w:val="20"/>
          <w:u w:val="single"/>
        </w:rPr>
      </w:pPr>
    </w:p>
    <w:p w14:paraId="4DFE49B8" w14:textId="2F5F08D6" w:rsidR="00002988" w:rsidRDefault="00002988">
      <w:pPr>
        <w:jc w:val="center"/>
        <w:rPr>
          <w:rFonts w:ascii="Times New Roman" w:eastAsia="Times New Roman" w:hAnsi="Times New Roman" w:cs="Times New Roman"/>
          <w:b/>
          <w:sz w:val="20"/>
          <w:szCs w:val="20"/>
          <w:u w:val="single"/>
        </w:rPr>
      </w:pPr>
    </w:p>
    <w:p w14:paraId="6BE2D048" w14:textId="775D527D" w:rsidR="00002988" w:rsidRDefault="00002988">
      <w:pPr>
        <w:jc w:val="center"/>
        <w:rPr>
          <w:rFonts w:ascii="Times New Roman" w:eastAsia="Times New Roman" w:hAnsi="Times New Roman" w:cs="Times New Roman"/>
          <w:b/>
          <w:sz w:val="20"/>
          <w:szCs w:val="20"/>
          <w:u w:val="single"/>
        </w:rPr>
      </w:pPr>
    </w:p>
    <w:p w14:paraId="52327AD2" w14:textId="759EBC67" w:rsidR="00002988" w:rsidRDefault="00002988">
      <w:pPr>
        <w:jc w:val="center"/>
        <w:rPr>
          <w:rFonts w:ascii="Times New Roman" w:eastAsia="Times New Roman" w:hAnsi="Times New Roman" w:cs="Times New Roman"/>
          <w:b/>
          <w:sz w:val="20"/>
          <w:szCs w:val="20"/>
          <w:u w:val="single"/>
        </w:rPr>
      </w:pPr>
    </w:p>
    <w:p w14:paraId="65AEADC2" w14:textId="77777777" w:rsidR="00002988" w:rsidRDefault="00002988">
      <w:pPr>
        <w:jc w:val="center"/>
        <w:rPr>
          <w:rFonts w:ascii="Times New Roman" w:eastAsia="Times New Roman" w:hAnsi="Times New Roman" w:cs="Times New Roman"/>
          <w:b/>
          <w:sz w:val="20"/>
          <w:szCs w:val="20"/>
          <w:u w:val="single"/>
        </w:rPr>
      </w:pPr>
    </w:p>
    <w:p w14:paraId="013B926B" w14:textId="77777777" w:rsidR="00657D48" w:rsidRDefault="003F3EEB">
      <w:pPr>
        <w:jc w:val="center"/>
        <w:rPr>
          <w:rFonts w:ascii="Times New Roman" w:eastAsia="Times New Roman" w:hAnsi="Times New Roman" w:cs="Times New Roman"/>
          <w:b/>
          <w:sz w:val="20"/>
          <w:szCs w:val="20"/>
          <w:u w:val="single"/>
        </w:rPr>
      </w:pPr>
      <w:r>
        <w:rPr>
          <w:rFonts w:ascii="Times New Roman" w:eastAsia="Times New Roman" w:hAnsi="Times New Roman" w:cs="Times New Roman"/>
          <w:b/>
          <w:sz w:val="20"/>
          <w:szCs w:val="20"/>
          <w:u w:val="single"/>
        </w:rPr>
        <w:lastRenderedPageBreak/>
        <w:t>Ficha del Informe de Opinión de Expertos</w:t>
      </w:r>
    </w:p>
    <w:p w14:paraId="656CC54C" w14:textId="77777777" w:rsidR="00657D48" w:rsidRDefault="003F3EEB">
      <w:pPr>
        <w:spacing w:after="0"/>
        <w:rPr>
          <w:rFonts w:ascii="Times New Roman" w:eastAsia="Times New Roman" w:hAnsi="Times New Roman" w:cs="Times New Roman"/>
          <w:b/>
          <w:sz w:val="20"/>
          <w:szCs w:val="20"/>
        </w:rPr>
      </w:pPr>
      <w:r>
        <w:rPr>
          <w:rFonts w:ascii="Times New Roman" w:eastAsia="Times New Roman" w:hAnsi="Times New Roman" w:cs="Times New Roman"/>
          <w:b/>
          <w:sz w:val="20"/>
          <w:szCs w:val="20"/>
        </w:rPr>
        <w:t>Título de la investigación:</w:t>
      </w:r>
    </w:p>
    <w:p w14:paraId="18D9D7D1" w14:textId="77777777" w:rsidR="00657D48" w:rsidRDefault="003F3EEB">
      <w:pPr>
        <w:spacing w:after="0"/>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Nombre del instrumento: </w:t>
      </w:r>
      <w:r>
        <w:rPr>
          <w:rFonts w:ascii="Times New Roman" w:eastAsia="Times New Roman" w:hAnsi="Times New Roman" w:cs="Times New Roman"/>
          <w:sz w:val="20"/>
          <w:szCs w:val="20"/>
        </w:rPr>
        <w:t>Encuesta</w:t>
      </w:r>
    </w:p>
    <w:p w14:paraId="78393EBF" w14:textId="77777777" w:rsidR="00657D48" w:rsidRDefault="00657D48">
      <w:pPr>
        <w:spacing w:after="0" w:line="240" w:lineRule="auto"/>
        <w:rPr>
          <w:rFonts w:ascii="Times New Roman" w:eastAsia="Times New Roman" w:hAnsi="Times New Roman" w:cs="Times New Roman"/>
          <w:sz w:val="20"/>
          <w:szCs w:val="20"/>
        </w:rPr>
      </w:pPr>
    </w:p>
    <w:p w14:paraId="47290CB6" w14:textId="77777777" w:rsidR="00657D48" w:rsidRDefault="003F3EEB">
      <w:pPr>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 DATOS DEL INFORMANTE:</w:t>
      </w:r>
    </w:p>
    <w:p w14:paraId="0CD98E8B" w14:textId="77777777" w:rsidR="00657D48" w:rsidRDefault="00657D48">
      <w:pPr>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14:paraId="113E179B" w14:textId="77777777" w:rsidR="00657D48" w:rsidRDefault="003F3EEB">
      <w:pPr>
        <w:numPr>
          <w:ilvl w:val="1"/>
          <w:numId w:val="14"/>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Apellidos y nombres: Delmar Amaru Samanamú Zilbert</w:t>
      </w:r>
    </w:p>
    <w:p w14:paraId="161C5620" w14:textId="77777777" w:rsidR="00657D48" w:rsidRDefault="003F3EEB">
      <w:pPr>
        <w:numPr>
          <w:ilvl w:val="1"/>
          <w:numId w:val="14"/>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Cargo e institución donde labora:  Experto de gestión de riesgo y preparación a la respuesta frente a desastres de la Ong. Cooperazione Internazionale- COOPI</w:t>
      </w:r>
    </w:p>
    <w:p w14:paraId="5820C1AC" w14:textId="77777777" w:rsidR="00657D48" w:rsidRDefault="003F3EEB">
      <w:pPr>
        <w:numPr>
          <w:ilvl w:val="0"/>
          <w:numId w:val="11"/>
        </w:numPr>
        <w:pBdr>
          <w:top w:val="nil"/>
          <w:left w:val="nil"/>
          <w:bottom w:val="nil"/>
          <w:right w:val="nil"/>
          <w:between w:val="nil"/>
        </w:pBdr>
        <w:spacing w:after="200"/>
        <w:ind w:left="142" w:firstLine="0"/>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DATOS DEL TESISTA:</w:t>
      </w:r>
    </w:p>
    <w:p w14:paraId="7BB2B83A" w14:textId="77777777" w:rsidR="00657D48" w:rsidRDefault="003F3EEB">
      <w:pPr>
        <w:numPr>
          <w:ilvl w:val="1"/>
          <w:numId w:val="16"/>
        </w:numPr>
        <w:pBdr>
          <w:top w:val="nil"/>
          <w:left w:val="nil"/>
          <w:bottom w:val="nil"/>
          <w:right w:val="nil"/>
          <w:between w:val="nil"/>
        </w:pBdr>
        <w:spacing w:after="0"/>
        <w:ind w:left="426"/>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Apellidos y nombres: Gonzales Lara Miguel Antonio</w:t>
      </w:r>
    </w:p>
    <w:p w14:paraId="1252739F" w14:textId="77777777" w:rsidR="00657D48" w:rsidRDefault="003F3EEB">
      <w:pPr>
        <w:numPr>
          <w:ilvl w:val="1"/>
          <w:numId w:val="16"/>
        </w:numPr>
        <w:pBdr>
          <w:top w:val="nil"/>
          <w:left w:val="nil"/>
          <w:bottom w:val="nil"/>
          <w:right w:val="nil"/>
          <w:between w:val="nil"/>
        </w:pBdr>
        <w:spacing w:after="0"/>
        <w:ind w:left="426"/>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Maestría: II Maestría en GRD</w:t>
      </w:r>
    </w:p>
    <w:p w14:paraId="002A59A1" w14:textId="77777777" w:rsidR="00657D48" w:rsidRDefault="00657D48">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14:paraId="73BD382C" w14:textId="77777777" w:rsidR="00657D48" w:rsidRDefault="003F3EEB">
      <w:pPr>
        <w:numPr>
          <w:ilvl w:val="0"/>
          <w:numId w:val="11"/>
        </w:numPr>
        <w:pBdr>
          <w:top w:val="nil"/>
          <w:left w:val="nil"/>
          <w:bottom w:val="nil"/>
          <w:right w:val="nil"/>
          <w:between w:val="nil"/>
        </w:pBdr>
        <w:spacing w:after="0"/>
        <w:ind w:left="142" w:firstLine="0"/>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20"/>
          <w:szCs w:val="20"/>
        </w:rPr>
        <w:t>ASPECTOS DE VALIDACIÓN</w:t>
      </w:r>
      <w:r>
        <w:rPr>
          <w:rFonts w:ascii="Times New Roman" w:eastAsia="Times New Roman" w:hAnsi="Times New Roman" w:cs="Times New Roman"/>
          <w:b/>
          <w:color w:val="000000"/>
          <w:sz w:val="16"/>
          <w:szCs w:val="16"/>
        </w:rPr>
        <w:t>:</w:t>
      </w:r>
    </w:p>
    <w:tbl>
      <w:tblPr>
        <w:tblStyle w:val="afc"/>
        <w:tblW w:w="8823" w:type="dxa"/>
        <w:tblInd w:w="-147"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6"/>
        <w:gridCol w:w="2855"/>
        <w:gridCol w:w="908"/>
        <w:gridCol w:w="778"/>
        <w:gridCol w:w="779"/>
        <w:gridCol w:w="778"/>
        <w:gridCol w:w="909"/>
      </w:tblGrid>
      <w:tr w:rsidR="00657D48" w14:paraId="2BAAF53C" w14:textId="77777777">
        <w:trPr>
          <w:trHeight w:val="549"/>
        </w:trPr>
        <w:tc>
          <w:tcPr>
            <w:tcW w:w="1817" w:type="dxa"/>
            <w:shd w:val="clear" w:color="auto" w:fill="D9D9D9"/>
            <w:vAlign w:val="center"/>
          </w:tcPr>
          <w:p w14:paraId="3D20E327"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INDICADORES</w:t>
            </w:r>
          </w:p>
        </w:tc>
        <w:tc>
          <w:tcPr>
            <w:tcW w:w="2855" w:type="dxa"/>
            <w:shd w:val="clear" w:color="auto" w:fill="D9D9D9"/>
            <w:vAlign w:val="center"/>
          </w:tcPr>
          <w:p w14:paraId="31B71813"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CRITERIOS</w:t>
            </w:r>
          </w:p>
        </w:tc>
        <w:tc>
          <w:tcPr>
            <w:tcW w:w="908" w:type="dxa"/>
            <w:shd w:val="clear" w:color="auto" w:fill="D9D9D9"/>
            <w:vAlign w:val="center"/>
          </w:tcPr>
          <w:p w14:paraId="582360A0"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Deficiente</w:t>
            </w:r>
          </w:p>
          <w:p w14:paraId="603EBE27"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0-30%</w:t>
            </w:r>
          </w:p>
        </w:tc>
        <w:tc>
          <w:tcPr>
            <w:tcW w:w="778" w:type="dxa"/>
            <w:shd w:val="clear" w:color="auto" w:fill="D9D9D9"/>
            <w:vAlign w:val="center"/>
          </w:tcPr>
          <w:p w14:paraId="6211CAD0"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Regular</w:t>
            </w:r>
          </w:p>
          <w:p w14:paraId="5F9E75F0"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31-50%</w:t>
            </w:r>
          </w:p>
        </w:tc>
        <w:tc>
          <w:tcPr>
            <w:tcW w:w="779" w:type="dxa"/>
            <w:shd w:val="clear" w:color="auto" w:fill="D9D9D9"/>
            <w:vAlign w:val="center"/>
          </w:tcPr>
          <w:p w14:paraId="5D1F5300"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Buena</w:t>
            </w:r>
          </w:p>
          <w:p w14:paraId="15C00689"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51-70%</w:t>
            </w:r>
          </w:p>
        </w:tc>
        <w:tc>
          <w:tcPr>
            <w:tcW w:w="778" w:type="dxa"/>
            <w:shd w:val="clear" w:color="auto" w:fill="D9D9D9"/>
            <w:vAlign w:val="center"/>
          </w:tcPr>
          <w:p w14:paraId="02C77FF4"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 xml:space="preserve">Muy Buena </w:t>
            </w:r>
          </w:p>
          <w:p w14:paraId="3A846060"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71-90%</w:t>
            </w:r>
          </w:p>
        </w:tc>
        <w:tc>
          <w:tcPr>
            <w:tcW w:w="909" w:type="dxa"/>
            <w:shd w:val="clear" w:color="auto" w:fill="D9D9D9"/>
            <w:vAlign w:val="center"/>
          </w:tcPr>
          <w:p w14:paraId="03720737" w14:textId="77777777" w:rsidR="00657D48" w:rsidRDefault="003F3EEB">
            <w:pPr>
              <w:pBdr>
                <w:top w:val="nil"/>
                <w:left w:val="nil"/>
                <w:bottom w:val="nil"/>
                <w:right w:val="nil"/>
                <w:between w:val="nil"/>
              </w:pBdr>
              <w:spacing w:line="360" w:lineRule="auto"/>
              <w:jc w:val="center"/>
              <w:rPr>
                <w:b/>
                <w:color w:val="000000"/>
                <w:sz w:val="16"/>
                <w:szCs w:val="16"/>
              </w:rPr>
            </w:pPr>
            <w:r>
              <w:rPr>
                <w:b/>
                <w:color w:val="000000"/>
                <w:sz w:val="16"/>
                <w:szCs w:val="16"/>
              </w:rPr>
              <w:t>Excelente</w:t>
            </w:r>
          </w:p>
          <w:p w14:paraId="488B8646" w14:textId="77777777" w:rsidR="00657D48" w:rsidRDefault="003F3EEB">
            <w:pPr>
              <w:pBdr>
                <w:top w:val="nil"/>
                <w:left w:val="nil"/>
                <w:bottom w:val="nil"/>
                <w:right w:val="nil"/>
                <w:between w:val="nil"/>
              </w:pBdr>
              <w:spacing w:after="240" w:line="360" w:lineRule="auto"/>
              <w:jc w:val="center"/>
              <w:rPr>
                <w:b/>
                <w:color w:val="000000"/>
                <w:sz w:val="16"/>
                <w:szCs w:val="16"/>
              </w:rPr>
            </w:pPr>
            <w:r>
              <w:rPr>
                <w:b/>
                <w:color w:val="000000"/>
                <w:sz w:val="16"/>
                <w:szCs w:val="16"/>
              </w:rPr>
              <w:t>91-100%</w:t>
            </w:r>
          </w:p>
        </w:tc>
      </w:tr>
      <w:tr w:rsidR="00657D48" w14:paraId="10A4C2B2" w14:textId="77777777">
        <w:trPr>
          <w:trHeight w:val="174"/>
        </w:trPr>
        <w:tc>
          <w:tcPr>
            <w:tcW w:w="1817" w:type="dxa"/>
            <w:vAlign w:val="center"/>
          </w:tcPr>
          <w:p w14:paraId="588ED56A"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CLARIDAD</w:t>
            </w:r>
          </w:p>
        </w:tc>
        <w:tc>
          <w:tcPr>
            <w:tcW w:w="2855" w:type="dxa"/>
            <w:vAlign w:val="center"/>
          </w:tcPr>
          <w:p w14:paraId="7A9E1C72"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Esta formulado con lenguaje apropiado</w:t>
            </w:r>
          </w:p>
        </w:tc>
        <w:tc>
          <w:tcPr>
            <w:tcW w:w="908" w:type="dxa"/>
          </w:tcPr>
          <w:p w14:paraId="1EB6328F"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4EBE5637"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76FE53A5"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15DBCEB7"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85</w:t>
            </w:r>
          </w:p>
        </w:tc>
        <w:tc>
          <w:tcPr>
            <w:tcW w:w="909" w:type="dxa"/>
            <w:vAlign w:val="center"/>
          </w:tcPr>
          <w:p w14:paraId="2C95FA01"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124B70DF" w14:textId="77777777">
        <w:trPr>
          <w:trHeight w:val="187"/>
        </w:trPr>
        <w:tc>
          <w:tcPr>
            <w:tcW w:w="1817" w:type="dxa"/>
            <w:vAlign w:val="center"/>
          </w:tcPr>
          <w:p w14:paraId="1BCDE156"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OBJETIVIDAD</w:t>
            </w:r>
          </w:p>
        </w:tc>
        <w:tc>
          <w:tcPr>
            <w:tcW w:w="2855" w:type="dxa"/>
            <w:vAlign w:val="center"/>
          </w:tcPr>
          <w:p w14:paraId="444A5C56"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Esta expresado en conductas observables</w:t>
            </w:r>
          </w:p>
        </w:tc>
        <w:tc>
          <w:tcPr>
            <w:tcW w:w="908" w:type="dxa"/>
          </w:tcPr>
          <w:p w14:paraId="73C51CA4"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6BE8B1C4"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58F8A583"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55F26F6D"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85</w:t>
            </w:r>
          </w:p>
        </w:tc>
        <w:tc>
          <w:tcPr>
            <w:tcW w:w="909" w:type="dxa"/>
            <w:vAlign w:val="center"/>
          </w:tcPr>
          <w:p w14:paraId="50A98476"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2C5B307A" w14:textId="77777777">
        <w:trPr>
          <w:trHeight w:val="361"/>
        </w:trPr>
        <w:tc>
          <w:tcPr>
            <w:tcW w:w="1817" w:type="dxa"/>
            <w:vAlign w:val="center"/>
          </w:tcPr>
          <w:p w14:paraId="7335D1DB"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ACTUALIDAD</w:t>
            </w:r>
          </w:p>
        </w:tc>
        <w:tc>
          <w:tcPr>
            <w:tcW w:w="2855" w:type="dxa"/>
            <w:vAlign w:val="center"/>
          </w:tcPr>
          <w:p w14:paraId="72C0BD42"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Adecuado al avance de la ciencia y tecnología</w:t>
            </w:r>
          </w:p>
        </w:tc>
        <w:tc>
          <w:tcPr>
            <w:tcW w:w="908" w:type="dxa"/>
          </w:tcPr>
          <w:p w14:paraId="6729932C"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40FFE51D"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3405531E"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4B52679C"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85</w:t>
            </w:r>
          </w:p>
        </w:tc>
        <w:tc>
          <w:tcPr>
            <w:tcW w:w="909" w:type="dxa"/>
            <w:vAlign w:val="center"/>
          </w:tcPr>
          <w:p w14:paraId="335DB0FA"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38A87295" w14:textId="77777777">
        <w:trPr>
          <w:trHeight w:val="187"/>
        </w:trPr>
        <w:tc>
          <w:tcPr>
            <w:tcW w:w="1817" w:type="dxa"/>
            <w:vAlign w:val="center"/>
          </w:tcPr>
          <w:p w14:paraId="415F8100"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ORGANIZACION</w:t>
            </w:r>
          </w:p>
        </w:tc>
        <w:tc>
          <w:tcPr>
            <w:tcW w:w="2855" w:type="dxa"/>
            <w:vAlign w:val="center"/>
          </w:tcPr>
          <w:p w14:paraId="07E4BE30"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Existe una organización lógica</w:t>
            </w:r>
          </w:p>
        </w:tc>
        <w:tc>
          <w:tcPr>
            <w:tcW w:w="908" w:type="dxa"/>
          </w:tcPr>
          <w:p w14:paraId="6D60DB1A"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37C25FF8"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36E879BF"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0F936743"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24ED24C5"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96</w:t>
            </w:r>
          </w:p>
        </w:tc>
      </w:tr>
      <w:tr w:rsidR="00657D48" w14:paraId="5C85390E" w14:textId="77777777">
        <w:trPr>
          <w:trHeight w:val="361"/>
        </w:trPr>
        <w:tc>
          <w:tcPr>
            <w:tcW w:w="1817" w:type="dxa"/>
            <w:vAlign w:val="center"/>
          </w:tcPr>
          <w:p w14:paraId="31408FE0"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SUFICIENCIA</w:t>
            </w:r>
          </w:p>
        </w:tc>
        <w:tc>
          <w:tcPr>
            <w:tcW w:w="2855" w:type="dxa"/>
            <w:vAlign w:val="center"/>
          </w:tcPr>
          <w:p w14:paraId="14DC64BC"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Comprende los aspectos en cantidad y calidad</w:t>
            </w:r>
          </w:p>
        </w:tc>
        <w:tc>
          <w:tcPr>
            <w:tcW w:w="908" w:type="dxa"/>
          </w:tcPr>
          <w:p w14:paraId="66114A66"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40601D8C"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425A4C51"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1D2E8BB5"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1DB24EC9"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90</w:t>
            </w:r>
          </w:p>
        </w:tc>
      </w:tr>
      <w:tr w:rsidR="00657D48" w14:paraId="061A4B82" w14:textId="77777777">
        <w:trPr>
          <w:trHeight w:val="361"/>
        </w:trPr>
        <w:tc>
          <w:tcPr>
            <w:tcW w:w="1817" w:type="dxa"/>
            <w:vAlign w:val="center"/>
          </w:tcPr>
          <w:p w14:paraId="7DEAA539"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INTENCIONALIDAD</w:t>
            </w:r>
          </w:p>
        </w:tc>
        <w:tc>
          <w:tcPr>
            <w:tcW w:w="2855" w:type="dxa"/>
            <w:vAlign w:val="center"/>
          </w:tcPr>
          <w:p w14:paraId="2DD1856D"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Adecuado para valorar aspectos de la investigación a realizar</w:t>
            </w:r>
          </w:p>
        </w:tc>
        <w:tc>
          <w:tcPr>
            <w:tcW w:w="908" w:type="dxa"/>
          </w:tcPr>
          <w:p w14:paraId="59F87B0A"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2C9523AC"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70864CAE"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6B38AF30"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78A5A791"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00276318" w14:textId="77777777">
        <w:trPr>
          <w:trHeight w:val="361"/>
        </w:trPr>
        <w:tc>
          <w:tcPr>
            <w:tcW w:w="1817" w:type="dxa"/>
            <w:vAlign w:val="center"/>
          </w:tcPr>
          <w:p w14:paraId="39CF6802"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CONSISTENCIA</w:t>
            </w:r>
          </w:p>
        </w:tc>
        <w:tc>
          <w:tcPr>
            <w:tcW w:w="2855" w:type="dxa"/>
            <w:vAlign w:val="center"/>
          </w:tcPr>
          <w:p w14:paraId="64D5EDE4"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Basado en aspectos teóricos científicos del tema de investigación</w:t>
            </w:r>
          </w:p>
        </w:tc>
        <w:tc>
          <w:tcPr>
            <w:tcW w:w="908" w:type="dxa"/>
          </w:tcPr>
          <w:p w14:paraId="7E142382"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65A330B4"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40905A9C"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7CF0D7C1"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3E91F316"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94</w:t>
            </w:r>
          </w:p>
        </w:tc>
      </w:tr>
      <w:tr w:rsidR="00657D48" w14:paraId="2171E2AA" w14:textId="77777777">
        <w:trPr>
          <w:trHeight w:val="187"/>
        </w:trPr>
        <w:tc>
          <w:tcPr>
            <w:tcW w:w="1817" w:type="dxa"/>
            <w:vAlign w:val="center"/>
          </w:tcPr>
          <w:p w14:paraId="021149DE"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COHERENCIA</w:t>
            </w:r>
          </w:p>
        </w:tc>
        <w:tc>
          <w:tcPr>
            <w:tcW w:w="2855" w:type="dxa"/>
            <w:vAlign w:val="center"/>
          </w:tcPr>
          <w:p w14:paraId="6C4B7B53"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Entre dimensiones(si hubiera)ítems e índices</w:t>
            </w:r>
          </w:p>
        </w:tc>
        <w:tc>
          <w:tcPr>
            <w:tcW w:w="908" w:type="dxa"/>
          </w:tcPr>
          <w:p w14:paraId="26C717C7"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3EE7F1DA"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633619C0"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2D86C79F"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90</w:t>
            </w:r>
          </w:p>
        </w:tc>
        <w:tc>
          <w:tcPr>
            <w:tcW w:w="909" w:type="dxa"/>
            <w:vAlign w:val="center"/>
          </w:tcPr>
          <w:p w14:paraId="26A4F5AE" w14:textId="77777777" w:rsidR="00657D48" w:rsidRDefault="00657D48">
            <w:pPr>
              <w:pBdr>
                <w:top w:val="nil"/>
                <w:left w:val="nil"/>
                <w:bottom w:val="nil"/>
                <w:right w:val="nil"/>
                <w:between w:val="nil"/>
              </w:pBdr>
              <w:spacing w:after="240" w:line="360" w:lineRule="auto"/>
              <w:jc w:val="center"/>
              <w:rPr>
                <w:color w:val="000000"/>
                <w:sz w:val="16"/>
                <w:szCs w:val="16"/>
              </w:rPr>
            </w:pPr>
          </w:p>
        </w:tc>
      </w:tr>
      <w:tr w:rsidR="00657D48" w14:paraId="75E90154" w14:textId="77777777">
        <w:trPr>
          <w:trHeight w:val="361"/>
        </w:trPr>
        <w:tc>
          <w:tcPr>
            <w:tcW w:w="1817" w:type="dxa"/>
            <w:vAlign w:val="center"/>
          </w:tcPr>
          <w:p w14:paraId="29114E0E"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METODOLOGIA</w:t>
            </w:r>
          </w:p>
        </w:tc>
        <w:tc>
          <w:tcPr>
            <w:tcW w:w="2855" w:type="dxa"/>
            <w:vAlign w:val="center"/>
          </w:tcPr>
          <w:p w14:paraId="17EC2EB4"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La estrategia responde al propósito de la investigación</w:t>
            </w:r>
          </w:p>
        </w:tc>
        <w:tc>
          <w:tcPr>
            <w:tcW w:w="908" w:type="dxa"/>
          </w:tcPr>
          <w:p w14:paraId="5AC86B08"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55BF0239"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1BC52943"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75CCC009"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4AF00B29"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95</w:t>
            </w:r>
          </w:p>
        </w:tc>
      </w:tr>
      <w:tr w:rsidR="00657D48" w14:paraId="2D9C6E23" w14:textId="77777777">
        <w:trPr>
          <w:trHeight w:val="361"/>
        </w:trPr>
        <w:tc>
          <w:tcPr>
            <w:tcW w:w="1817" w:type="dxa"/>
            <w:vAlign w:val="center"/>
          </w:tcPr>
          <w:p w14:paraId="06E4E0C4" w14:textId="77777777" w:rsidR="00657D48" w:rsidRDefault="003F3EEB">
            <w:pPr>
              <w:numPr>
                <w:ilvl w:val="0"/>
                <w:numId w:val="13"/>
              </w:numPr>
              <w:pBdr>
                <w:top w:val="nil"/>
                <w:left w:val="nil"/>
                <w:bottom w:val="nil"/>
                <w:right w:val="nil"/>
                <w:between w:val="nil"/>
              </w:pBdr>
              <w:spacing w:after="240" w:line="360" w:lineRule="auto"/>
              <w:ind w:left="321" w:hanging="284"/>
              <w:jc w:val="left"/>
              <w:rPr>
                <w:color w:val="000000"/>
                <w:sz w:val="16"/>
                <w:szCs w:val="16"/>
              </w:rPr>
            </w:pPr>
            <w:r>
              <w:rPr>
                <w:color w:val="000000"/>
                <w:sz w:val="16"/>
                <w:szCs w:val="16"/>
              </w:rPr>
              <w:t>PERTINENCIA</w:t>
            </w:r>
          </w:p>
        </w:tc>
        <w:tc>
          <w:tcPr>
            <w:tcW w:w="2855" w:type="dxa"/>
            <w:vAlign w:val="center"/>
          </w:tcPr>
          <w:p w14:paraId="158F6C63" w14:textId="77777777" w:rsidR="00657D48" w:rsidRDefault="003F3EEB">
            <w:pPr>
              <w:pBdr>
                <w:top w:val="nil"/>
                <w:left w:val="nil"/>
                <w:bottom w:val="nil"/>
                <w:right w:val="nil"/>
                <w:between w:val="nil"/>
              </w:pBdr>
              <w:spacing w:after="240" w:line="360" w:lineRule="auto"/>
              <w:jc w:val="left"/>
              <w:rPr>
                <w:color w:val="000000"/>
                <w:sz w:val="16"/>
                <w:szCs w:val="16"/>
              </w:rPr>
            </w:pPr>
            <w:r>
              <w:rPr>
                <w:color w:val="000000"/>
                <w:sz w:val="16"/>
                <w:szCs w:val="16"/>
              </w:rPr>
              <w:t>El instrumento es el adecuado para el propósito de la investigación</w:t>
            </w:r>
          </w:p>
        </w:tc>
        <w:tc>
          <w:tcPr>
            <w:tcW w:w="908" w:type="dxa"/>
          </w:tcPr>
          <w:p w14:paraId="3A3DD9BF"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tcPr>
          <w:p w14:paraId="71D74EAC"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9" w:type="dxa"/>
          </w:tcPr>
          <w:p w14:paraId="6BF217F7" w14:textId="77777777" w:rsidR="00657D48" w:rsidRDefault="00657D48">
            <w:pPr>
              <w:pBdr>
                <w:top w:val="nil"/>
                <w:left w:val="nil"/>
                <w:bottom w:val="nil"/>
                <w:right w:val="nil"/>
                <w:between w:val="nil"/>
              </w:pBdr>
              <w:spacing w:after="240" w:line="360" w:lineRule="auto"/>
              <w:jc w:val="left"/>
              <w:rPr>
                <w:color w:val="000000"/>
                <w:sz w:val="16"/>
                <w:szCs w:val="16"/>
              </w:rPr>
            </w:pPr>
          </w:p>
        </w:tc>
        <w:tc>
          <w:tcPr>
            <w:tcW w:w="778" w:type="dxa"/>
            <w:vAlign w:val="center"/>
          </w:tcPr>
          <w:p w14:paraId="418E45C2" w14:textId="77777777" w:rsidR="00657D48" w:rsidRDefault="00657D48">
            <w:pPr>
              <w:pBdr>
                <w:top w:val="nil"/>
                <w:left w:val="nil"/>
                <w:bottom w:val="nil"/>
                <w:right w:val="nil"/>
                <w:between w:val="nil"/>
              </w:pBdr>
              <w:spacing w:after="240" w:line="360" w:lineRule="auto"/>
              <w:jc w:val="center"/>
              <w:rPr>
                <w:color w:val="000000"/>
                <w:sz w:val="16"/>
                <w:szCs w:val="16"/>
              </w:rPr>
            </w:pPr>
          </w:p>
        </w:tc>
        <w:tc>
          <w:tcPr>
            <w:tcW w:w="909" w:type="dxa"/>
            <w:vAlign w:val="center"/>
          </w:tcPr>
          <w:p w14:paraId="0A16F407" w14:textId="77777777" w:rsidR="00657D48" w:rsidRDefault="003F3EEB">
            <w:pPr>
              <w:pBdr>
                <w:top w:val="nil"/>
                <w:left w:val="nil"/>
                <w:bottom w:val="nil"/>
                <w:right w:val="nil"/>
                <w:between w:val="nil"/>
              </w:pBdr>
              <w:spacing w:after="240" w:line="360" w:lineRule="auto"/>
              <w:jc w:val="center"/>
              <w:rPr>
                <w:color w:val="000000"/>
                <w:sz w:val="16"/>
                <w:szCs w:val="16"/>
              </w:rPr>
            </w:pPr>
            <w:r>
              <w:rPr>
                <w:color w:val="000000"/>
                <w:sz w:val="16"/>
                <w:szCs w:val="16"/>
              </w:rPr>
              <w:t>94</w:t>
            </w:r>
          </w:p>
        </w:tc>
      </w:tr>
    </w:tbl>
    <w:p w14:paraId="6539F407" w14:textId="77777777" w:rsidR="00657D48" w:rsidRDefault="00657D48">
      <w:pPr>
        <w:pBdr>
          <w:top w:val="nil"/>
          <w:left w:val="nil"/>
          <w:bottom w:val="nil"/>
          <w:right w:val="nil"/>
          <w:between w:val="nil"/>
        </w:pBdr>
        <w:spacing w:after="200" w:line="240" w:lineRule="auto"/>
        <w:ind w:left="1440"/>
        <w:rPr>
          <w:rFonts w:ascii="Times New Roman" w:eastAsia="Times New Roman" w:hAnsi="Times New Roman" w:cs="Times New Roman"/>
          <w:color w:val="000000"/>
          <w:sz w:val="16"/>
          <w:szCs w:val="16"/>
        </w:rPr>
      </w:pPr>
    </w:p>
    <w:p w14:paraId="7B539D09" w14:textId="77777777" w:rsidR="00657D48" w:rsidRDefault="003F3EEB">
      <w:pPr>
        <w:numPr>
          <w:ilvl w:val="0"/>
          <w:numId w:val="11"/>
        </w:numPr>
        <w:pBdr>
          <w:top w:val="nil"/>
          <w:left w:val="nil"/>
          <w:bottom w:val="nil"/>
          <w:right w:val="nil"/>
          <w:between w:val="nil"/>
        </w:pBdr>
        <w:spacing w:after="200" w:line="240" w:lineRule="auto"/>
        <w:ind w:left="284" w:hanging="77"/>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PROMEDIO DE LA VALORACION: ……90.9%</w:t>
      </w:r>
    </w:p>
    <w:p w14:paraId="51BC6312" w14:textId="77777777" w:rsidR="00657D48" w:rsidRDefault="003F3EEB">
      <w:pPr>
        <w:numPr>
          <w:ilvl w:val="0"/>
          <w:numId w:val="11"/>
        </w:numPr>
        <w:pBdr>
          <w:top w:val="nil"/>
          <w:left w:val="nil"/>
          <w:bottom w:val="nil"/>
          <w:right w:val="nil"/>
          <w:between w:val="nil"/>
        </w:pBdr>
        <w:spacing w:after="200" w:line="240" w:lineRule="auto"/>
        <w:ind w:left="284" w:hanging="77"/>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INFORME DE APLICABILIDAD:</w:t>
      </w:r>
    </w:p>
    <w:p w14:paraId="43318CAB" w14:textId="77777777" w:rsidR="00657D48" w:rsidRDefault="003F3EEB">
      <w:pPr>
        <w:pBdr>
          <w:top w:val="nil"/>
          <w:left w:val="nil"/>
          <w:bottom w:val="nil"/>
          <w:right w:val="nil"/>
          <w:between w:val="nil"/>
        </w:pBdr>
        <w:spacing w:after="200" w:line="240" w:lineRule="auto"/>
        <w:ind w:left="851" w:hanging="545"/>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El instrumento puede ser aplicado, tal como está elaborado</w:t>
      </w:r>
    </w:p>
    <w:p w14:paraId="5EEE61DF" w14:textId="77777777" w:rsidR="00657D48" w:rsidRDefault="003F3EEB">
      <w:pPr>
        <w:pBdr>
          <w:top w:val="nil"/>
          <w:left w:val="nil"/>
          <w:bottom w:val="nil"/>
          <w:right w:val="nil"/>
          <w:between w:val="nil"/>
        </w:pBdr>
        <w:spacing w:after="200" w:line="240" w:lineRule="auto"/>
        <w:ind w:left="851" w:hanging="545"/>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(…X..) El instrumento debe ser mejorado antes de ser aplicado y nuevamente validado</w:t>
      </w:r>
    </w:p>
    <w:p w14:paraId="7A2D9B79" w14:textId="77777777" w:rsidR="00657D48" w:rsidRDefault="003F3EEB">
      <w:pPr>
        <w:ind w:left="284"/>
        <w:rPr>
          <w:rFonts w:ascii="Times New Roman" w:eastAsia="Times New Roman" w:hAnsi="Times New Roman" w:cs="Times New Roman"/>
          <w:sz w:val="20"/>
          <w:szCs w:val="20"/>
        </w:rPr>
      </w:pPr>
      <w:r>
        <w:rPr>
          <w:rFonts w:ascii="Times New Roman" w:eastAsia="Times New Roman" w:hAnsi="Times New Roman" w:cs="Times New Roman"/>
          <w:sz w:val="20"/>
          <w:szCs w:val="20"/>
        </w:rPr>
        <w:t>Ciudad de Lima, 06 de abril del 2021.</w:t>
      </w:r>
      <w:r>
        <w:rPr>
          <w:noProof/>
        </w:rPr>
        <w:drawing>
          <wp:anchor distT="0" distB="0" distL="0" distR="0" simplePos="0" relativeHeight="251676672" behindDoc="1" locked="0" layoutInCell="1" hidden="0" allowOverlap="1" wp14:anchorId="5DB2DBC8" wp14:editId="31A65E93">
            <wp:simplePos x="0" y="0"/>
            <wp:positionH relativeFrom="column">
              <wp:posOffset>3799232</wp:posOffset>
            </wp:positionH>
            <wp:positionV relativeFrom="paragraph">
              <wp:posOffset>80066</wp:posOffset>
            </wp:positionV>
            <wp:extent cx="1636073" cy="612305"/>
            <wp:effectExtent l="0" t="0" r="0" b="0"/>
            <wp:wrapNone/>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1"/>
                    <a:srcRect/>
                    <a:stretch>
                      <a:fillRect/>
                    </a:stretch>
                  </pic:blipFill>
                  <pic:spPr>
                    <a:xfrm>
                      <a:off x="0" y="0"/>
                      <a:ext cx="1636073" cy="612305"/>
                    </a:xfrm>
                    <a:prstGeom prst="rect">
                      <a:avLst/>
                    </a:prstGeom>
                    <a:ln/>
                  </pic:spPr>
                </pic:pic>
              </a:graphicData>
            </a:graphic>
          </wp:anchor>
        </w:drawing>
      </w:r>
    </w:p>
    <w:p w14:paraId="42B26DA3" w14:textId="77777777" w:rsidR="00657D48" w:rsidRDefault="003F3EEB">
      <w:pPr>
        <w:rPr>
          <w:rFonts w:ascii="Times New Roman" w:eastAsia="Times New Roman" w:hAnsi="Times New Roman" w:cs="Times New Roman"/>
          <w:sz w:val="16"/>
          <w:szCs w:val="16"/>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noProof/>
        </w:rPr>
        <mc:AlternateContent>
          <mc:Choice Requires="wps">
            <w:drawing>
              <wp:anchor distT="0" distB="0" distL="114300" distR="114300" simplePos="0" relativeHeight="251677696" behindDoc="0" locked="0" layoutInCell="1" hidden="0" allowOverlap="1" wp14:anchorId="5686FBDA" wp14:editId="1378BADB">
                <wp:simplePos x="0" y="0"/>
                <wp:positionH relativeFrom="column">
                  <wp:posOffset>3102582</wp:posOffset>
                </wp:positionH>
                <wp:positionV relativeFrom="paragraph">
                  <wp:posOffset>264215</wp:posOffset>
                </wp:positionV>
                <wp:extent cx="3000375" cy="800100"/>
                <wp:effectExtent l="0" t="0" r="9525" b="0"/>
                <wp:wrapNone/>
                <wp:docPr id="6" name="Cuadro de texto 6"/>
                <wp:cNvGraphicFramePr/>
                <a:graphic xmlns:a="http://schemas.openxmlformats.org/drawingml/2006/main">
                  <a:graphicData uri="http://schemas.microsoft.com/office/word/2010/wordprocessingShape">
                    <wps:wsp>
                      <wps:cNvSpPr txBox="1"/>
                      <wps:spPr>
                        <a:xfrm>
                          <a:off x="0" y="0"/>
                          <a:ext cx="3000375" cy="800100"/>
                        </a:xfrm>
                        <a:prstGeom prst="rect">
                          <a:avLst/>
                        </a:prstGeom>
                        <a:solidFill>
                          <a:schemeClr val="lt1"/>
                        </a:solidFill>
                        <a:ln w="6350">
                          <a:noFill/>
                        </a:ln>
                      </wps:spPr>
                      <wps:txbx>
                        <w:txbxContent>
                          <w:p w14:paraId="0FBEB3C1" w14:textId="77777777" w:rsidR="002D22AA" w:rsidRPr="003D6548" w:rsidRDefault="002D22AA" w:rsidP="003F3EEB">
                            <w:pPr>
                              <w:spacing w:after="0" w:line="240" w:lineRule="auto"/>
                              <w:jc w:val="center"/>
                              <w:rPr>
                                <w:rFonts w:ascii="Times New Roman" w:hAnsi="Times New Roman" w:cs="Times New Roman"/>
                                <w:sz w:val="16"/>
                                <w:lang w:val="es-MX"/>
                              </w:rPr>
                            </w:pPr>
                            <w:r>
                              <w:rPr>
                                <w:rFonts w:ascii="Times New Roman" w:hAnsi="Times New Roman" w:cs="Times New Roman"/>
                                <w:sz w:val="16"/>
                                <w:lang w:val="es-MX"/>
                              </w:rPr>
                              <w:t>………….…………..</w:t>
                            </w:r>
                            <w:r w:rsidRPr="003D6548">
                              <w:rPr>
                                <w:rFonts w:ascii="Times New Roman" w:hAnsi="Times New Roman" w:cs="Times New Roman"/>
                                <w:sz w:val="16"/>
                                <w:lang w:val="es-MX"/>
                              </w:rPr>
                              <w:t>....................................</w:t>
                            </w:r>
                          </w:p>
                          <w:p w14:paraId="2202A0BF" w14:textId="77777777" w:rsidR="002D22AA" w:rsidRPr="003D6548" w:rsidRDefault="002D22AA" w:rsidP="003F3EEB">
                            <w:pPr>
                              <w:spacing w:after="0" w:line="240" w:lineRule="auto"/>
                              <w:jc w:val="center"/>
                              <w:rPr>
                                <w:rFonts w:ascii="Times New Roman" w:hAnsi="Times New Roman" w:cs="Times New Roman"/>
                                <w:sz w:val="16"/>
                                <w:lang w:val="es-MX"/>
                              </w:rPr>
                            </w:pPr>
                            <w:r w:rsidRPr="003D6548">
                              <w:rPr>
                                <w:rFonts w:ascii="Times New Roman" w:hAnsi="Times New Roman" w:cs="Times New Roman"/>
                                <w:sz w:val="16"/>
                                <w:lang w:val="es-MX"/>
                              </w:rPr>
                              <w:t>FIRMA DEL EXPERTO INFORMANTE</w:t>
                            </w:r>
                          </w:p>
                          <w:p w14:paraId="59DD8A9D" w14:textId="77777777" w:rsidR="002D22AA" w:rsidRPr="003D6548" w:rsidRDefault="002D22AA" w:rsidP="003F3EEB">
                            <w:pPr>
                              <w:spacing w:after="0" w:line="240" w:lineRule="auto"/>
                              <w:jc w:val="center"/>
                              <w:rPr>
                                <w:rFonts w:ascii="Times New Roman" w:hAnsi="Times New Roman" w:cs="Times New Roman"/>
                                <w:sz w:val="16"/>
                                <w:lang w:val="es-MX"/>
                              </w:rPr>
                            </w:pPr>
                          </w:p>
                          <w:p w14:paraId="231B90F6" w14:textId="77777777" w:rsidR="002D22AA" w:rsidRPr="003D6548" w:rsidRDefault="002D22AA" w:rsidP="003F3EEB">
                            <w:pPr>
                              <w:spacing w:line="240" w:lineRule="auto"/>
                              <w:jc w:val="center"/>
                              <w:rPr>
                                <w:rFonts w:ascii="Times New Roman" w:hAnsi="Times New Roman" w:cs="Times New Roman"/>
                                <w:sz w:val="16"/>
                                <w:lang w:val="es-MX"/>
                              </w:rPr>
                            </w:pPr>
                            <w:r w:rsidRPr="003D6548">
                              <w:rPr>
                                <w:rFonts w:ascii="Times New Roman" w:hAnsi="Times New Roman" w:cs="Times New Roman"/>
                                <w:sz w:val="16"/>
                                <w:lang w:val="es-MX"/>
                              </w:rPr>
                              <w:t>DNI N°46287865</w:t>
                            </w:r>
                            <w:r>
                              <w:rPr>
                                <w:rFonts w:ascii="Times New Roman" w:hAnsi="Times New Roman" w:cs="Times New Roman"/>
                                <w:sz w:val="16"/>
                                <w:lang w:val="es-MX"/>
                              </w:rPr>
                              <w:br/>
                              <w:t xml:space="preserve">TELEFONO N° </w:t>
                            </w:r>
                            <w:r w:rsidRPr="003D6548">
                              <w:rPr>
                                <w:rFonts w:ascii="Times New Roman" w:hAnsi="Times New Roman" w:cs="Times New Roman"/>
                                <w:sz w:val="16"/>
                                <w:lang w:val="es-MX"/>
                              </w:rPr>
                              <w:t xml:space="preserve">999947740 </w:t>
                            </w:r>
                          </w:p>
                          <w:p w14:paraId="739504BB" w14:textId="77777777" w:rsidR="002D22AA" w:rsidRPr="003D6548" w:rsidRDefault="002D22AA" w:rsidP="003F3EEB">
                            <w:pPr>
                              <w:rPr>
                                <w:rFonts w:ascii="Times New Roman" w:hAnsi="Times New Roman" w:cs="Times New Roman"/>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86FBDA" id="Cuadro de texto 6" o:spid="_x0000_s1030" type="#_x0000_t202" style="position:absolute;margin-left:244.3pt;margin-top:20.8pt;width:236.25pt;height:6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" fillcolor="white [3201]" stroked="f" strokeweight=".5pt">
                <v:textbox>
                  <w:txbxContent>
                    <w:p w14:paraId="0FBEB3C1" w14:textId="77777777" w:rsidR="002D22AA" w:rsidRPr="003D6548" w:rsidRDefault="002D22AA" w:rsidP="003F3EEB">
                      <w:pPr>
                        <w:spacing w:after="0" w:line="240" w:lineRule="auto"/>
                        <w:jc w:val="center"/>
                        <w:rPr>
                          <w:rFonts w:ascii="Times New Roman" w:hAnsi="Times New Roman" w:cs="Times New Roman"/>
                          <w:sz w:val="16"/>
                          <w:lang w:val="es-MX"/>
                        </w:rPr>
                      </w:pPr>
                      <w:r>
                        <w:rPr>
                          <w:rFonts w:ascii="Times New Roman" w:hAnsi="Times New Roman" w:cs="Times New Roman"/>
                          <w:sz w:val="16"/>
                          <w:lang w:val="es-MX"/>
                        </w:rPr>
                        <w:t>………….…………..</w:t>
                      </w:r>
                      <w:r w:rsidRPr="003D6548">
                        <w:rPr>
                          <w:rFonts w:ascii="Times New Roman" w:hAnsi="Times New Roman" w:cs="Times New Roman"/>
                          <w:sz w:val="16"/>
                          <w:lang w:val="es-MX"/>
                        </w:rPr>
                        <w:t>....................................</w:t>
                      </w:r>
                    </w:p>
                    <w:p w14:paraId="2202A0BF" w14:textId="77777777" w:rsidR="002D22AA" w:rsidRPr="003D6548" w:rsidRDefault="002D22AA" w:rsidP="003F3EEB">
                      <w:pPr>
                        <w:spacing w:after="0" w:line="240" w:lineRule="auto"/>
                        <w:jc w:val="center"/>
                        <w:rPr>
                          <w:rFonts w:ascii="Times New Roman" w:hAnsi="Times New Roman" w:cs="Times New Roman"/>
                          <w:sz w:val="16"/>
                          <w:lang w:val="es-MX"/>
                        </w:rPr>
                      </w:pPr>
                      <w:r w:rsidRPr="003D6548">
                        <w:rPr>
                          <w:rFonts w:ascii="Times New Roman" w:hAnsi="Times New Roman" w:cs="Times New Roman"/>
                          <w:sz w:val="16"/>
                          <w:lang w:val="es-MX"/>
                        </w:rPr>
                        <w:t>FIRMA DEL EXPERTO INFORMANTE</w:t>
                      </w:r>
                    </w:p>
                    <w:p w14:paraId="59DD8A9D" w14:textId="77777777" w:rsidR="002D22AA" w:rsidRPr="003D6548" w:rsidRDefault="002D22AA" w:rsidP="003F3EEB">
                      <w:pPr>
                        <w:spacing w:after="0" w:line="240" w:lineRule="auto"/>
                        <w:jc w:val="center"/>
                        <w:rPr>
                          <w:rFonts w:ascii="Times New Roman" w:hAnsi="Times New Roman" w:cs="Times New Roman"/>
                          <w:sz w:val="16"/>
                          <w:lang w:val="es-MX"/>
                        </w:rPr>
                      </w:pPr>
                    </w:p>
                    <w:p w14:paraId="231B90F6" w14:textId="77777777" w:rsidR="002D22AA" w:rsidRPr="003D6548" w:rsidRDefault="002D22AA" w:rsidP="003F3EEB">
                      <w:pPr>
                        <w:spacing w:line="240" w:lineRule="auto"/>
                        <w:jc w:val="center"/>
                        <w:rPr>
                          <w:rFonts w:ascii="Times New Roman" w:hAnsi="Times New Roman" w:cs="Times New Roman"/>
                          <w:sz w:val="16"/>
                          <w:lang w:val="es-MX"/>
                        </w:rPr>
                      </w:pPr>
                      <w:r w:rsidRPr="003D6548">
                        <w:rPr>
                          <w:rFonts w:ascii="Times New Roman" w:hAnsi="Times New Roman" w:cs="Times New Roman"/>
                          <w:sz w:val="16"/>
                          <w:lang w:val="es-MX"/>
                        </w:rPr>
                        <w:t>DNI N°46287865</w:t>
                      </w:r>
                      <w:r>
                        <w:rPr>
                          <w:rFonts w:ascii="Times New Roman" w:hAnsi="Times New Roman" w:cs="Times New Roman"/>
                          <w:sz w:val="16"/>
                          <w:lang w:val="es-MX"/>
                        </w:rPr>
                        <w:br/>
                        <w:t xml:space="preserve">TELEFONO N° </w:t>
                      </w:r>
                      <w:r w:rsidRPr="003D6548">
                        <w:rPr>
                          <w:rFonts w:ascii="Times New Roman" w:hAnsi="Times New Roman" w:cs="Times New Roman"/>
                          <w:sz w:val="16"/>
                          <w:lang w:val="es-MX"/>
                        </w:rPr>
                        <w:t xml:space="preserve">999947740 </w:t>
                      </w:r>
                    </w:p>
                    <w:p w14:paraId="739504BB" w14:textId="77777777" w:rsidR="002D22AA" w:rsidRPr="003D6548" w:rsidRDefault="002D22AA" w:rsidP="003F3EEB">
                      <w:pPr>
                        <w:rPr>
                          <w:rFonts w:ascii="Times New Roman" w:hAnsi="Times New Roman" w:cs="Times New Roman"/>
                          <w:sz w:val="20"/>
                        </w:rPr>
                      </w:pPr>
                    </w:p>
                  </w:txbxContent>
                </v:textbox>
              </v:shape>
            </w:pict>
          </mc:Fallback>
        </mc:AlternateContent>
      </w:r>
    </w:p>
    <w:p w14:paraId="5224E9A5" w14:textId="77777777" w:rsidR="00657D48" w:rsidRDefault="00657D48">
      <w:pPr>
        <w:tabs>
          <w:tab w:val="left" w:pos="8222"/>
        </w:tabs>
        <w:spacing w:line="240" w:lineRule="auto"/>
        <w:rPr>
          <w:rFonts w:ascii="Times New Roman" w:eastAsia="Times New Roman" w:hAnsi="Times New Roman" w:cs="Times New Roman"/>
          <w:sz w:val="16"/>
          <w:szCs w:val="16"/>
        </w:rPr>
      </w:pPr>
    </w:p>
    <w:sectPr w:rsidR="00657D48">
      <w:pgSz w:w="11906" w:h="16838"/>
      <w:pgMar w:top="1701" w:right="1701" w:bottom="1701" w:left="2268"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26E1C9" w14:textId="77777777" w:rsidR="0061311B" w:rsidRDefault="0061311B">
      <w:pPr>
        <w:spacing w:after="0" w:line="240" w:lineRule="auto"/>
      </w:pPr>
      <w:r>
        <w:separator/>
      </w:r>
    </w:p>
  </w:endnote>
  <w:endnote w:type="continuationSeparator" w:id="0">
    <w:p w14:paraId="5EF93BBC" w14:textId="77777777" w:rsidR="0061311B" w:rsidRDefault="00613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rlito">
    <w:altName w:val="Calibri"/>
    <w:charset w:val="00"/>
    <w:family w:val="swiss"/>
    <w:pitch w:val="variable"/>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29B0E"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03B34620"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E2427"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2FAC1"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61EA9494"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9CFFB"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4CBC756C"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01A56"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1A5F4F74"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7EF67"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0F674"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1EFB9E2E"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B6D822" w14:textId="77777777" w:rsidR="0061311B" w:rsidRDefault="0061311B">
      <w:pPr>
        <w:spacing w:after="0" w:line="240" w:lineRule="auto"/>
      </w:pPr>
      <w:r>
        <w:separator/>
      </w:r>
    </w:p>
  </w:footnote>
  <w:footnote w:type="continuationSeparator" w:id="0">
    <w:p w14:paraId="44F80BBF" w14:textId="77777777" w:rsidR="0061311B" w:rsidRDefault="0061311B">
      <w:pPr>
        <w:spacing w:after="0" w:line="240" w:lineRule="auto"/>
      </w:pPr>
      <w:r>
        <w:continuationSeparator/>
      </w:r>
    </w:p>
  </w:footnote>
  <w:footnote w:id="1">
    <w:p w14:paraId="53223430" w14:textId="77777777" w:rsidR="002D22AA" w:rsidRPr="00B73693" w:rsidRDefault="002D22AA" w:rsidP="008D3FA6">
      <w:pPr>
        <w:pStyle w:val="Textonotapie"/>
        <w:rPr>
          <w:lang w:val="es-MX"/>
        </w:rPr>
      </w:pPr>
      <w:r>
        <w:rPr>
          <w:rStyle w:val="Refdenotaalpie"/>
        </w:rPr>
        <w:footnoteRef/>
      </w:r>
      <w:r>
        <w:t xml:space="preserve"> </w:t>
      </w:r>
      <w:r w:rsidRPr="00B73693">
        <w:rPr>
          <w:rFonts w:ascii="Cambria" w:hAnsi="Cambria"/>
          <w:sz w:val="16"/>
          <w:szCs w:val="16"/>
          <w:lang w:val="es-ES_tradnl"/>
        </w:rPr>
        <w:t>Se dice una persona damnificada a la persona que perdió su vivienda y su medio de vida</w:t>
      </w:r>
      <w:r>
        <w:rPr>
          <w:rFonts w:ascii="Cambria" w:hAnsi="Cambria"/>
          <w:sz w:val="16"/>
          <w:szCs w:val="16"/>
          <w:lang w:val="es-ES_tradnl"/>
        </w:rPr>
        <w:t xml:space="preserve"> (</w:t>
      </w:r>
      <w:r w:rsidRPr="00B73693">
        <w:rPr>
          <w:rFonts w:ascii="Cambria" w:hAnsi="Cambria"/>
          <w:sz w:val="16"/>
          <w:szCs w:val="16"/>
          <w:lang w:val="es-ES_tradnl"/>
        </w:rPr>
        <w:t>ganado, cultivo y negocio</w:t>
      </w:r>
      <w:r>
        <w:rPr>
          <w:rFonts w:ascii="Cambria" w:hAnsi="Cambria"/>
          <w:sz w:val="16"/>
          <w:szCs w:val="16"/>
          <w:lang w:val="es-ES_tradnl"/>
        </w:rPr>
        <w:t>)</w:t>
      </w:r>
      <w:r w:rsidRPr="00B73693">
        <w:rPr>
          <w:rFonts w:ascii="Cambria" w:hAnsi="Cambria"/>
          <w:sz w:val="16"/>
          <w:szCs w:val="16"/>
          <w:lang w:val="es-ES_tradnl"/>
        </w:rPr>
        <w:t>.</w:t>
      </w:r>
    </w:p>
  </w:footnote>
  <w:footnote w:id="2">
    <w:p w14:paraId="6238F87E" w14:textId="77777777" w:rsidR="002D22AA" w:rsidRPr="00B73693" w:rsidRDefault="002D22AA" w:rsidP="008D3FA6">
      <w:pPr>
        <w:pStyle w:val="Textonotapie"/>
        <w:rPr>
          <w:lang w:val="es-MX"/>
        </w:rPr>
      </w:pPr>
      <w:r>
        <w:rPr>
          <w:rStyle w:val="Refdenotaalpie"/>
        </w:rPr>
        <w:footnoteRef/>
      </w:r>
      <w:r>
        <w:t xml:space="preserve"> </w:t>
      </w:r>
      <w:r w:rsidRPr="00B73693">
        <w:rPr>
          <w:rFonts w:ascii="Cambria" w:hAnsi="Cambria"/>
          <w:sz w:val="16"/>
          <w:szCs w:val="16"/>
          <w:lang w:val="es-ES_tradnl"/>
        </w:rPr>
        <w:t xml:space="preserve">Se dice una persona afectada </w:t>
      </w:r>
      <w:r>
        <w:rPr>
          <w:rFonts w:ascii="Cambria" w:hAnsi="Cambria"/>
          <w:sz w:val="16"/>
          <w:szCs w:val="16"/>
          <w:lang w:val="es-ES_tradnl"/>
        </w:rPr>
        <w:t>cuando su vivienda se afecta de forma</w:t>
      </w:r>
      <w:r w:rsidRPr="00B73693">
        <w:rPr>
          <w:rFonts w:ascii="Cambria" w:hAnsi="Cambria"/>
          <w:sz w:val="16"/>
          <w:szCs w:val="16"/>
          <w:lang w:val="es-ES_tradnl"/>
        </w:rPr>
        <w:t xml:space="preserve"> parcial</w:t>
      </w:r>
      <w:r>
        <w:rPr>
          <w:rFonts w:ascii="Cambria" w:hAnsi="Cambria"/>
          <w:sz w:val="16"/>
          <w:szCs w:val="16"/>
          <w:lang w:val="es-ES_tradnl"/>
        </w:rPr>
        <w:t xml:space="preserve"> </w:t>
      </w:r>
      <w:r w:rsidRPr="00B73693">
        <w:rPr>
          <w:rFonts w:ascii="Cambria" w:hAnsi="Cambria"/>
          <w:sz w:val="16"/>
          <w:szCs w:val="16"/>
          <w:lang w:val="es-ES_tradnl"/>
        </w:rPr>
        <w:t xml:space="preserve"> y que perdieron parte de su medio de vida.</w:t>
      </w:r>
      <w:r>
        <w:rPr>
          <w:lang w:val="es-MX"/>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F76CB" w14:textId="4E853585" w:rsidR="002D22AA" w:rsidRDefault="002D22AA">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B67FE">
      <w:rPr>
        <w:rFonts w:ascii="Times New Roman" w:eastAsia="Times New Roman" w:hAnsi="Times New Roman" w:cs="Times New Roman"/>
        <w:noProof/>
        <w:color w:val="000000"/>
      </w:rPr>
      <w:t>74</w:t>
    </w:r>
    <w:r>
      <w:rPr>
        <w:rFonts w:ascii="Times New Roman" w:eastAsia="Times New Roman" w:hAnsi="Times New Roman" w:cs="Times New Roman"/>
        <w:color w:val="000000"/>
      </w:rPr>
      <w:fldChar w:fldCharType="end"/>
    </w:r>
  </w:p>
  <w:p w14:paraId="1A1D26BC"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C52B5"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0D7DA27A"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F838B" w14:textId="13A5DAE0" w:rsidR="002D22AA" w:rsidRDefault="002D22AA">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B67FE">
      <w:rPr>
        <w:rFonts w:ascii="Times New Roman" w:eastAsia="Times New Roman" w:hAnsi="Times New Roman" w:cs="Times New Roman"/>
        <w:noProof/>
        <w:color w:val="000000"/>
      </w:rPr>
      <w:t>64</w:t>
    </w:r>
    <w:r>
      <w:rPr>
        <w:rFonts w:ascii="Times New Roman" w:eastAsia="Times New Roman" w:hAnsi="Times New Roman" w:cs="Times New Roman"/>
        <w:color w:val="000000"/>
      </w:rPr>
      <w:fldChar w:fldCharType="end"/>
    </w:r>
  </w:p>
  <w:p w14:paraId="7EF653F1" w14:textId="77777777" w:rsidR="002D22AA" w:rsidRDefault="002D22AA">
    <w:pPr>
      <w:widowControl w:val="0"/>
      <w:pBdr>
        <w:top w:val="nil"/>
        <w:left w:val="nil"/>
        <w:bottom w:val="nil"/>
        <w:right w:val="nil"/>
        <w:between w:val="nil"/>
      </w:pBdr>
      <w:spacing w:after="0" w:line="276" w:lineRule="auto"/>
      <w:rPr>
        <w:rFonts w:ascii="Times New Roman" w:eastAsia="Times New Roman" w:hAnsi="Times New Roman" w:cs="Times New Roman"/>
        <w:color w:val="00000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06260" w14:textId="77777777" w:rsidR="002D22AA" w:rsidRDefault="002D22AA">
    <w:pPr>
      <w:pBdr>
        <w:top w:val="nil"/>
        <w:left w:val="nil"/>
        <w:bottom w:val="nil"/>
        <w:right w:val="nil"/>
        <w:between w:val="nil"/>
      </w:pBdr>
      <w:tabs>
        <w:tab w:val="center" w:pos="4419"/>
        <w:tab w:val="right" w:pos="8838"/>
      </w:tabs>
      <w:spacing w:after="0" w:line="240" w:lineRule="auto"/>
      <w:jc w:val="right"/>
      <w:rPr>
        <w:color w:val="000000"/>
      </w:rPr>
    </w:pPr>
  </w:p>
  <w:p w14:paraId="202ABA3E"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0F1B" w14:textId="7F537B85" w:rsidR="002D22AA" w:rsidRDefault="002D22AA">
    <w:pPr>
      <w:pBdr>
        <w:top w:val="nil"/>
        <w:left w:val="nil"/>
        <w:bottom w:val="nil"/>
        <w:right w:val="nil"/>
        <w:between w:val="nil"/>
      </w:pBdr>
      <w:tabs>
        <w:tab w:val="center" w:pos="4419"/>
        <w:tab w:val="right" w:pos="8838"/>
      </w:tabs>
      <w:spacing w:after="0" w:line="240" w:lineRule="auto"/>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B67FE">
      <w:rPr>
        <w:rFonts w:ascii="Times New Roman" w:eastAsia="Times New Roman" w:hAnsi="Times New Roman" w:cs="Times New Roman"/>
        <w:noProof/>
        <w:color w:val="000000"/>
      </w:rPr>
      <w:t>98</w:t>
    </w:r>
    <w:r>
      <w:rPr>
        <w:rFonts w:ascii="Times New Roman" w:eastAsia="Times New Roman" w:hAnsi="Times New Roman" w:cs="Times New Roman"/>
        <w:color w:val="000000"/>
      </w:rPr>
      <w:fldChar w:fldCharType="end"/>
    </w:r>
  </w:p>
  <w:p w14:paraId="16505820" w14:textId="77777777" w:rsidR="002D22AA" w:rsidRDefault="002D22AA">
    <w:pPr>
      <w:widowControl w:val="0"/>
      <w:pBdr>
        <w:top w:val="nil"/>
        <w:left w:val="nil"/>
        <w:bottom w:val="nil"/>
        <w:right w:val="nil"/>
        <w:between w:val="nil"/>
      </w:pBdr>
      <w:spacing w:after="0" w:line="276" w:lineRule="auto"/>
      <w:rPr>
        <w:color w:val="000000"/>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395FF" w14:textId="72326950" w:rsidR="002D22AA" w:rsidRDefault="002D22AA">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B67FE">
      <w:rPr>
        <w:rFonts w:ascii="Times New Roman" w:eastAsia="Times New Roman" w:hAnsi="Times New Roman" w:cs="Times New Roman"/>
        <w:noProof/>
        <w:color w:val="000000"/>
      </w:rPr>
      <w:t>104</w:t>
    </w:r>
    <w:r>
      <w:rPr>
        <w:rFonts w:ascii="Times New Roman" w:eastAsia="Times New Roman" w:hAnsi="Times New Roman" w:cs="Times New Roman"/>
        <w:color w:val="000000"/>
      </w:rPr>
      <w:fldChar w:fldCharType="end"/>
    </w:r>
  </w:p>
  <w:p w14:paraId="002E5080"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889645" w14:textId="3DD51559" w:rsidR="002D22AA" w:rsidRDefault="002D22AA">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B67FE">
      <w:rPr>
        <w:rFonts w:ascii="Times New Roman" w:eastAsia="Times New Roman" w:hAnsi="Times New Roman" w:cs="Times New Roman"/>
        <w:noProof/>
        <w:color w:val="000000"/>
      </w:rPr>
      <w:t>131</w:t>
    </w:r>
    <w:r>
      <w:rPr>
        <w:rFonts w:ascii="Times New Roman" w:eastAsia="Times New Roman" w:hAnsi="Times New Roman" w:cs="Times New Roman"/>
        <w:color w:val="000000"/>
      </w:rPr>
      <w:fldChar w:fldCharType="end"/>
    </w:r>
  </w:p>
  <w:p w14:paraId="30F9AF32" w14:textId="77777777" w:rsidR="002D22AA" w:rsidRDefault="002D22AA">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A38D7"/>
    <w:multiLevelType w:val="hybridMultilevel"/>
    <w:tmpl w:val="43B25BBC"/>
    <w:lvl w:ilvl="0" w:tplc="2BE8F158">
      <w:start w:val="1"/>
      <w:numFmt w:val="decimal"/>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52E58E4"/>
    <w:multiLevelType w:val="hybridMultilevel"/>
    <w:tmpl w:val="9370C95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96510D4"/>
    <w:multiLevelType w:val="multilevel"/>
    <w:tmpl w:val="7DA20D16"/>
    <w:lvl w:ilvl="0">
      <w:start w:val="4"/>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C01989"/>
    <w:multiLevelType w:val="multilevel"/>
    <w:tmpl w:val="9EC6A1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4143E1"/>
    <w:multiLevelType w:val="multilevel"/>
    <w:tmpl w:val="85F0BE92"/>
    <w:lvl w:ilvl="0">
      <w:start w:val="1"/>
      <w:numFmt w:val="bullet"/>
      <w:lvlText w:val="−"/>
      <w:lvlJc w:val="left"/>
      <w:pPr>
        <w:ind w:left="2160" w:hanging="360"/>
      </w:pPr>
      <w:rPr>
        <w:rFonts w:ascii="Noto Sans Symbols" w:eastAsia="Noto Sans Symbols" w:hAnsi="Noto Sans Symbols" w:cs="Noto Sans Symbols"/>
      </w:rPr>
    </w:lvl>
    <w:lvl w:ilvl="1">
      <w:numFmt w:val="bullet"/>
      <w:lvlText w:val="•"/>
      <w:lvlJc w:val="left"/>
      <w:pPr>
        <w:ind w:left="2880" w:hanging="360"/>
      </w:pPr>
      <w:rPr>
        <w:rFonts w:ascii="Times New Roman" w:eastAsia="Times New Roman" w:hAnsi="Times New Roman" w:cs="Times New Roman"/>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 w15:restartNumberingAfterBreak="0">
    <w:nsid w:val="15F342E8"/>
    <w:multiLevelType w:val="multilevel"/>
    <w:tmpl w:val="F7342A68"/>
    <w:lvl w:ilvl="0">
      <w:start w:val="1"/>
      <w:numFmt w:val="upperRoman"/>
      <w:lvlText w:val="%1."/>
      <w:lvlJc w:val="right"/>
      <w:pPr>
        <w:ind w:left="360" w:hanging="360"/>
      </w:pPr>
    </w:lvl>
    <w:lvl w:ilvl="1">
      <w:start w:val="1"/>
      <w:numFmt w:val="decimal"/>
      <w:lvlText w:val="%1.%2"/>
      <w:lvlJc w:val="left"/>
      <w:pPr>
        <w:ind w:left="1353" w:hanging="359"/>
      </w:pPr>
      <w:rPr>
        <w:sz w:val="24"/>
        <w:szCs w:val="24"/>
      </w:rPr>
    </w:lvl>
    <w:lvl w:ilvl="2">
      <w:start w:val="1"/>
      <w:numFmt w:val="bullet"/>
      <w:lvlText w:val="●"/>
      <w:lvlJc w:val="left"/>
      <w:pPr>
        <w:ind w:left="1440" w:hanging="720"/>
      </w:pPr>
      <w:rPr>
        <w:rFonts w:ascii="Noto Sans Symbols" w:eastAsia="Noto Sans Symbols" w:hAnsi="Noto Sans Symbols" w:cs="Noto Sans Symbols"/>
      </w:rPr>
    </w:lvl>
    <w:lvl w:ilvl="3">
      <w:start w:val="1"/>
      <w:numFmt w:val="decimal"/>
      <w:lvlText w:val="%1.%2.●.%4"/>
      <w:lvlJc w:val="left"/>
      <w:pPr>
        <w:ind w:left="1800" w:hanging="720"/>
      </w:pPr>
    </w:lvl>
    <w:lvl w:ilvl="4">
      <w:start w:val="1"/>
      <w:numFmt w:val="decimal"/>
      <w:lvlText w:val="%1.%2.●.%4.%5"/>
      <w:lvlJc w:val="left"/>
      <w:pPr>
        <w:ind w:left="2520" w:hanging="1080"/>
      </w:pPr>
    </w:lvl>
    <w:lvl w:ilvl="5">
      <w:start w:val="1"/>
      <w:numFmt w:val="decimal"/>
      <w:lvlText w:val="%1.%2.●.%4.%5.%6"/>
      <w:lvlJc w:val="left"/>
      <w:pPr>
        <w:ind w:left="3240" w:hanging="1440"/>
      </w:pPr>
    </w:lvl>
    <w:lvl w:ilvl="6">
      <w:start w:val="1"/>
      <w:numFmt w:val="decimal"/>
      <w:lvlText w:val="%1.%2.●.%4.%5.%6.%7"/>
      <w:lvlJc w:val="left"/>
      <w:pPr>
        <w:ind w:left="3600" w:hanging="1440"/>
      </w:pPr>
    </w:lvl>
    <w:lvl w:ilvl="7">
      <w:start w:val="1"/>
      <w:numFmt w:val="decimal"/>
      <w:lvlText w:val="%1.%2.●.%4.%5.%6.%7.%8"/>
      <w:lvlJc w:val="left"/>
      <w:pPr>
        <w:ind w:left="4320" w:hanging="1800"/>
      </w:pPr>
    </w:lvl>
    <w:lvl w:ilvl="8">
      <w:start w:val="1"/>
      <w:numFmt w:val="decimal"/>
      <w:lvlText w:val="%1.%2.●.%4.%5.%6.%7.%8.%9"/>
      <w:lvlJc w:val="left"/>
      <w:pPr>
        <w:ind w:left="4680" w:hanging="1800"/>
      </w:pPr>
    </w:lvl>
  </w:abstractNum>
  <w:abstractNum w:abstractNumId="6" w15:restartNumberingAfterBreak="0">
    <w:nsid w:val="17E6793C"/>
    <w:multiLevelType w:val="hybridMultilevel"/>
    <w:tmpl w:val="1A2EBA60"/>
    <w:lvl w:ilvl="0" w:tplc="CA8614F4">
      <w:start w:val="1"/>
      <w:numFmt w:val="decimal"/>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7" w15:restartNumberingAfterBreak="0">
    <w:nsid w:val="1A0E4BC3"/>
    <w:multiLevelType w:val="hybridMultilevel"/>
    <w:tmpl w:val="665C76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A8D52CC"/>
    <w:multiLevelType w:val="hybridMultilevel"/>
    <w:tmpl w:val="67523482"/>
    <w:lvl w:ilvl="0" w:tplc="0C0A000D">
      <w:start w:val="1"/>
      <w:numFmt w:val="bullet"/>
      <w:lvlText w:val=""/>
      <w:lvlJc w:val="left"/>
      <w:pPr>
        <w:ind w:left="1145" w:hanging="360"/>
      </w:pPr>
      <w:rPr>
        <w:rFonts w:ascii="Wingdings" w:hAnsi="Wingdings" w:hint="default"/>
      </w:rPr>
    </w:lvl>
    <w:lvl w:ilvl="1" w:tplc="0C0A0003" w:tentative="1">
      <w:start w:val="1"/>
      <w:numFmt w:val="bullet"/>
      <w:lvlText w:val="o"/>
      <w:lvlJc w:val="left"/>
      <w:pPr>
        <w:ind w:left="1865" w:hanging="360"/>
      </w:pPr>
      <w:rPr>
        <w:rFonts w:ascii="Courier New" w:hAnsi="Courier New" w:cs="Courier New" w:hint="default"/>
      </w:rPr>
    </w:lvl>
    <w:lvl w:ilvl="2" w:tplc="0C0A0005" w:tentative="1">
      <w:start w:val="1"/>
      <w:numFmt w:val="bullet"/>
      <w:lvlText w:val=""/>
      <w:lvlJc w:val="left"/>
      <w:pPr>
        <w:ind w:left="2585" w:hanging="360"/>
      </w:pPr>
      <w:rPr>
        <w:rFonts w:ascii="Wingdings" w:hAnsi="Wingdings" w:hint="default"/>
      </w:rPr>
    </w:lvl>
    <w:lvl w:ilvl="3" w:tplc="0C0A0001" w:tentative="1">
      <w:start w:val="1"/>
      <w:numFmt w:val="bullet"/>
      <w:lvlText w:val=""/>
      <w:lvlJc w:val="left"/>
      <w:pPr>
        <w:ind w:left="3305" w:hanging="360"/>
      </w:pPr>
      <w:rPr>
        <w:rFonts w:ascii="Symbol" w:hAnsi="Symbol" w:hint="default"/>
      </w:rPr>
    </w:lvl>
    <w:lvl w:ilvl="4" w:tplc="0C0A0003" w:tentative="1">
      <w:start w:val="1"/>
      <w:numFmt w:val="bullet"/>
      <w:lvlText w:val="o"/>
      <w:lvlJc w:val="left"/>
      <w:pPr>
        <w:ind w:left="4025" w:hanging="360"/>
      </w:pPr>
      <w:rPr>
        <w:rFonts w:ascii="Courier New" w:hAnsi="Courier New" w:cs="Courier New" w:hint="default"/>
      </w:rPr>
    </w:lvl>
    <w:lvl w:ilvl="5" w:tplc="0C0A0005" w:tentative="1">
      <w:start w:val="1"/>
      <w:numFmt w:val="bullet"/>
      <w:lvlText w:val=""/>
      <w:lvlJc w:val="left"/>
      <w:pPr>
        <w:ind w:left="4745" w:hanging="360"/>
      </w:pPr>
      <w:rPr>
        <w:rFonts w:ascii="Wingdings" w:hAnsi="Wingdings" w:hint="default"/>
      </w:rPr>
    </w:lvl>
    <w:lvl w:ilvl="6" w:tplc="0C0A0001" w:tentative="1">
      <w:start w:val="1"/>
      <w:numFmt w:val="bullet"/>
      <w:lvlText w:val=""/>
      <w:lvlJc w:val="left"/>
      <w:pPr>
        <w:ind w:left="5465" w:hanging="360"/>
      </w:pPr>
      <w:rPr>
        <w:rFonts w:ascii="Symbol" w:hAnsi="Symbol" w:hint="default"/>
      </w:rPr>
    </w:lvl>
    <w:lvl w:ilvl="7" w:tplc="0C0A0003" w:tentative="1">
      <w:start w:val="1"/>
      <w:numFmt w:val="bullet"/>
      <w:lvlText w:val="o"/>
      <w:lvlJc w:val="left"/>
      <w:pPr>
        <w:ind w:left="6185" w:hanging="360"/>
      </w:pPr>
      <w:rPr>
        <w:rFonts w:ascii="Courier New" w:hAnsi="Courier New" w:cs="Courier New" w:hint="default"/>
      </w:rPr>
    </w:lvl>
    <w:lvl w:ilvl="8" w:tplc="0C0A0005" w:tentative="1">
      <w:start w:val="1"/>
      <w:numFmt w:val="bullet"/>
      <w:lvlText w:val=""/>
      <w:lvlJc w:val="left"/>
      <w:pPr>
        <w:ind w:left="6905" w:hanging="360"/>
      </w:pPr>
      <w:rPr>
        <w:rFonts w:ascii="Wingdings" w:hAnsi="Wingdings" w:hint="default"/>
      </w:rPr>
    </w:lvl>
  </w:abstractNum>
  <w:abstractNum w:abstractNumId="9" w15:restartNumberingAfterBreak="0">
    <w:nsid w:val="21F564A3"/>
    <w:multiLevelType w:val="multilevel"/>
    <w:tmpl w:val="08B2D8FC"/>
    <w:lvl w:ilvl="0">
      <w:start w:val="1"/>
      <w:numFmt w:val="decimal"/>
      <w:lvlText w:val="%1"/>
      <w:lvlJc w:val="left"/>
      <w:pPr>
        <w:ind w:left="360" w:hanging="360"/>
      </w:pPr>
      <w:rPr>
        <w:rFonts w:hint="default"/>
        <w:color w:val="000000"/>
      </w:rPr>
    </w:lvl>
    <w:lvl w:ilvl="1">
      <w:start w:val="3"/>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0" w15:restartNumberingAfterBreak="0">
    <w:nsid w:val="250914FF"/>
    <w:multiLevelType w:val="multilevel"/>
    <w:tmpl w:val="46FA6542"/>
    <w:lvl w:ilvl="0">
      <w:start w:val="1"/>
      <w:numFmt w:val="decimal"/>
      <w:lvlText w:val="%1"/>
      <w:lvlJc w:val="left"/>
      <w:pPr>
        <w:ind w:left="360" w:hanging="360"/>
      </w:pPr>
      <w:rPr>
        <w:rFonts w:hint="default"/>
        <w:color w:val="000000"/>
      </w:rPr>
    </w:lvl>
    <w:lvl w:ilvl="1">
      <w:start w:val="3"/>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1" w15:restartNumberingAfterBreak="0">
    <w:nsid w:val="28B85F05"/>
    <w:multiLevelType w:val="hybridMultilevel"/>
    <w:tmpl w:val="3E268254"/>
    <w:lvl w:ilvl="0" w:tplc="0C0A000D">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2" w15:restartNumberingAfterBreak="0">
    <w:nsid w:val="2A7A3930"/>
    <w:multiLevelType w:val="multilevel"/>
    <w:tmpl w:val="430A6898"/>
    <w:lvl w:ilvl="0">
      <w:start w:val="4"/>
      <w:numFmt w:val="bullet"/>
      <w:lvlText w:val="-"/>
      <w:lvlJc w:val="left"/>
      <w:pPr>
        <w:ind w:left="6739" w:hanging="360"/>
      </w:pPr>
      <w:rPr>
        <w:rFonts w:ascii="Times New Roman" w:eastAsia="Times New Roman" w:hAnsi="Times New Roman" w:cs="Times New Roman"/>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DC87AAA"/>
    <w:multiLevelType w:val="hybridMultilevel"/>
    <w:tmpl w:val="6A049184"/>
    <w:lvl w:ilvl="0" w:tplc="535450F6">
      <w:start w:val="1"/>
      <w:numFmt w:val="bullet"/>
      <w:lvlText w:val="-"/>
      <w:lvlJc w:val="left"/>
      <w:pPr>
        <w:ind w:left="1352" w:hanging="360"/>
      </w:pPr>
      <w:rPr>
        <w:rFonts w:ascii="Times New Roman" w:eastAsia="Times New Roman" w:hAnsi="Times New Roman" w:cs="Times New Roman" w:hint="default"/>
      </w:rPr>
    </w:lvl>
    <w:lvl w:ilvl="1" w:tplc="280A0003" w:tentative="1">
      <w:start w:val="1"/>
      <w:numFmt w:val="bullet"/>
      <w:lvlText w:val="o"/>
      <w:lvlJc w:val="left"/>
      <w:pPr>
        <w:ind w:left="2072" w:hanging="360"/>
      </w:pPr>
      <w:rPr>
        <w:rFonts w:ascii="Courier New" w:hAnsi="Courier New" w:cs="Courier New" w:hint="default"/>
      </w:rPr>
    </w:lvl>
    <w:lvl w:ilvl="2" w:tplc="280A0005" w:tentative="1">
      <w:start w:val="1"/>
      <w:numFmt w:val="bullet"/>
      <w:lvlText w:val=""/>
      <w:lvlJc w:val="left"/>
      <w:pPr>
        <w:ind w:left="2792" w:hanging="360"/>
      </w:pPr>
      <w:rPr>
        <w:rFonts w:ascii="Wingdings" w:hAnsi="Wingdings" w:hint="default"/>
      </w:rPr>
    </w:lvl>
    <w:lvl w:ilvl="3" w:tplc="280A0001" w:tentative="1">
      <w:start w:val="1"/>
      <w:numFmt w:val="bullet"/>
      <w:lvlText w:val=""/>
      <w:lvlJc w:val="left"/>
      <w:pPr>
        <w:ind w:left="3512" w:hanging="360"/>
      </w:pPr>
      <w:rPr>
        <w:rFonts w:ascii="Symbol" w:hAnsi="Symbol" w:hint="default"/>
      </w:rPr>
    </w:lvl>
    <w:lvl w:ilvl="4" w:tplc="280A0003" w:tentative="1">
      <w:start w:val="1"/>
      <w:numFmt w:val="bullet"/>
      <w:lvlText w:val="o"/>
      <w:lvlJc w:val="left"/>
      <w:pPr>
        <w:ind w:left="4232" w:hanging="360"/>
      </w:pPr>
      <w:rPr>
        <w:rFonts w:ascii="Courier New" w:hAnsi="Courier New" w:cs="Courier New" w:hint="default"/>
      </w:rPr>
    </w:lvl>
    <w:lvl w:ilvl="5" w:tplc="280A0005" w:tentative="1">
      <w:start w:val="1"/>
      <w:numFmt w:val="bullet"/>
      <w:lvlText w:val=""/>
      <w:lvlJc w:val="left"/>
      <w:pPr>
        <w:ind w:left="4952" w:hanging="360"/>
      </w:pPr>
      <w:rPr>
        <w:rFonts w:ascii="Wingdings" w:hAnsi="Wingdings" w:hint="default"/>
      </w:rPr>
    </w:lvl>
    <w:lvl w:ilvl="6" w:tplc="280A0001" w:tentative="1">
      <w:start w:val="1"/>
      <w:numFmt w:val="bullet"/>
      <w:lvlText w:val=""/>
      <w:lvlJc w:val="left"/>
      <w:pPr>
        <w:ind w:left="5672" w:hanging="360"/>
      </w:pPr>
      <w:rPr>
        <w:rFonts w:ascii="Symbol" w:hAnsi="Symbol" w:hint="default"/>
      </w:rPr>
    </w:lvl>
    <w:lvl w:ilvl="7" w:tplc="280A0003" w:tentative="1">
      <w:start w:val="1"/>
      <w:numFmt w:val="bullet"/>
      <w:lvlText w:val="o"/>
      <w:lvlJc w:val="left"/>
      <w:pPr>
        <w:ind w:left="6392" w:hanging="360"/>
      </w:pPr>
      <w:rPr>
        <w:rFonts w:ascii="Courier New" w:hAnsi="Courier New" w:cs="Courier New" w:hint="default"/>
      </w:rPr>
    </w:lvl>
    <w:lvl w:ilvl="8" w:tplc="280A0005" w:tentative="1">
      <w:start w:val="1"/>
      <w:numFmt w:val="bullet"/>
      <w:lvlText w:val=""/>
      <w:lvlJc w:val="left"/>
      <w:pPr>
        <w:ind w:left="7112" w:hanging="360"/>
      </w:pPr>
      <w:rPr>
        <w:rFonts w:ascii="Wingdings" w:hAnsi="Wingdings" w:hint="default"/>
      </w:rPr>
    </w:lvl>
  </w:abstractNum>
  <w:abstractNum w:abstractNumId="14" w15:restartNumberingAfterBreak="0">
    <w:nsid w:val="30B24A8A"/>
    <w:multiLevelType w:val="multilevel"/>
    <w:tmpl w:val="94A60B88"/>
    <w:lvl w:ilvl="0">
      <w:start w:val="1"/>
      <w:numFmt w:val="upperRoman"/>
      <w:lvlText w:val="%1."/>
      <w:lvlJc w:val="left"/>
      <w:pPr>
        <w:ind w:left="1440" w:hanging="720"/>
      </w:pPr>
    </w:lvl>
    <w:lvl w:ilvl="1">
      <w:start w:val="1"/>
      <w:numFmt w:val="decimal"/>
      <w:lvlText w:val="%1.%2"/>
      <w:lvlJc w:val="left"/>
      <w:pPr>
        <w:ind w:left="1800" w:hanging="360"/>
      </w:pPr>
    </w:lvl>
    <w:lvl w:ilvl="2">
      <w:start w:val="1"/>
      <w:numFmt w:val="decimal"/>
      <w:lvlText w:val="%1.%2.%3"/>
      <w:lvlJc w:val="left"/>
      <w:pPr>
        <w:ind w:left="2880" w:hanging="720"/>
      </w:pPr>
    </w:lvl>
    <w:lvl w:ilvl="3">
      <w:start w:val="1"/>
      <w:numFmt w:val="decimal"/>
      <w:lvlText w:val="%1.%2.%3.%4"/>
      <w:lvlJc w:val="left"/>
      <w:pPr>
        <w:ind w:left="3600" w:hanging="720"/>
      </w:pPr>
    </w:lvl>
    <w:lvl w:ilvl="4">
      <w:start w:val="1"/>
      <w:numFmt w:val="decimal"/>
      <w:lvlText w:val="%1.%2.%3.%4.%5"/>
      <w:lvlJc w:val="left"/>
      <w:pPr>
        <w:ind w:left="4680" w:hanging="1080"/>
      </w:pPr>
    </w:lvl>
    <w:lvl w:ilvl="5">
      <w:start w:val="1"/>
      <w:numFmt w:val="decimal"/>
      <w:lvlText w:val="%1.%2.%3.%4.%5.%6"/>
      <w:lvlJc w:val="left"/>
      <w:pPr>
        <w:ind w:left="5400" w:hanging="1080"/>
      </w:pPr>
    </w:lvl>
    <w:lvl w:ilvl="6">
      <w:start w:val="1"/>
      <w:numFmt w:val="decimal"/>
      <w:lvlText w:val="%1.%2.%3.%4.%5.%6.%7"/>
      <w:lvlJc w:val="left"/>
      <w:pPr>
        <w:ind w:left="6480" w:hanging="1440"/>
      </w:pPr>
    </w:lvl>
    <w:lvl w:ilvl="7">
      <w:start w:val="1"/>
      <w:numFmt w:val="decimal"/>
      <w:lvlText w:val="%1.%2.%3.%4.%5.%6.%7.%8"/>
      <w:lvlJc w:val="left"/>
      <w:pPr>
        <w:ind w:left="7200" w:hanging="1440"/>
      </w:pPr>
    </w:lvl>
    <w:lvl w:ilvl="8">
      <w:start w:val="1"/>
      <w:numFmt w:val="decimal"/>
      <w:lvlText w:val="%1.%2.%3.%4.%5.%6.%7.%8.%9"/>
      <w:lvlJc w:val="left"/>
      <w:pPr>
        <w:ind w:left="8280" w:hanging="1800"/>
      </w:pPr>
    </w:lvl>
  </w:abstractNum>
  <w:abstractNum w:abstractNumId="15" w15:restartNumberingAfterBreak="0">
    <w:nsid w:val="31153A82"/>
    <w:multiLevelType w:val="hybridMultilevel"/>
    <w:tmpl w:val="A8729F5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24131C3"/>
    <w:multiLevelType w:val="multilevel"/>
    <w:tmpl w:val="848C579E"/>
    <w:lvl w:ilvl="0">
      <w:start w:val="2"/>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7" w15:restartNumberingAfterBreak="0">
    <w:nsid w:val="324A06C6"/>
    <w:multiLevelType w:val="multilevel"/>
    <w:tmpl w:val="23F4BC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4473DC3"/>
    <w:multiLevelType w:val="hybridMultilevel"/>
    <w:tmpl w:val="52DA03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5B47633"/>
    <w:multiLevelType w:val="hybridMultilevel"/>
    <w:tmpl w:val="A008BAA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15:restartNumberingAfterBreak="0">
    <w:nsid w:val="365C2344"/>
    <w:multiLevelType w:val="hybridMultilevel"/>
    <w:tmpl w:val="BDB092F2"/>
    <w:lvl w:ilvl="0" w:tplc="BDB2F54A">
      <w:start w:val="1"/>
      <w:numFmt w:val="lowerLetter"/>
      <w:lvlText w:val="%1."/>
      <w:lvlJc w:val="left"/>
      <w:pPr>
        <w:ind w:left="360" w:hanging="360"/>
      </w:pPr>
      <w:rPr>
        <w:b w:val="0"/>
        <w:sz w:val="22"/>
        <w:szCs w:val="22"/>
      </w:rPr>
    </w:lvl>
    <w:lvl w:ilvl="1" w:tplc="280A0019">
      <w:start w:val="1"/>
      <w:numFmt w:val="lowerLetter"/>
      <w:lvlText w:val="%2."/>
      <w:lvlJc w:val="left"/>
      <w:pPr>
        <w:ind w:left="1724" w:hanging="360"/>
      </w:pPr>
    </w:lvl>
    <w:lvl w:ilvl="2" w:tplc="280A001B" w:tentative="1">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21" w15:restartNumberingAfterBreak="0">
    <w:nsid w:val="38834B00"/>
    <w:multiLevelType w:val="multilevel"/>
    <w:tmpl w:val="04CA26DE"/>
    <w:lvl w:ilvl="0">
      <w:start w:val="1"/>
      <w:numFmt w:val="decimal"/>
      <w:lvlText w:val="%1"/>
      <w:lvlJc w:val="left"/>
      <w:pPr>
        <w:ind w:left="3061" w:hanging="360"/>
      </w:pPr>
    </w:lvl>
    <w:lvl w:ilvl="1">
      <w:start w:val="1"/>
      <w:numFmt w:val="decimal"/>
      <w:lvlText w:val="%1.%2"/>
      <w:lvlJc w:val="left"/>
      <w:pPr>
        <w:ind w:left="3061" w:hanging="360"/>
      </w:pPr>
      <w:rPr>
        <w:rFonts w:ascii="Times New Roman" w:eastAsia="Times New Roman" w:hAnsi="Times New Roman" w:cs="Times New Roman"/>
        <w:sz w:val="16"/>
        <w:szCs w:val="16"/>
      </w:rPr>
    </w:lvl>
    <w:lvl w:ilvl="2">
      <w:numFmt w:val="bullet"/>
      <w:lvlText w:val="•"/>
      <w:lvlJc w:val="left"/>
      <w:pPr>
        <w:ind w:left="4688" w:hanging="360"/>
      </w:pPr>
    </w:lvl>
    <w:lvl w:ilvl="3">
      <w:numFmt w:val="bullet"/>
      <w:lvlText w:val="•"/>
      <w:lvlJc w:val="left"/>
      <w:pPr>
        <w:ind w:left="5502" w:hanging="360"/>
      </w:pPr>
    </w:lvl>
    <w:lvl w:ilvl="4">
      <w:numFmt w:val="bullet"/>
      <w:lvlText w:val="•"/>
      <w:lvlJc w:val="left"/>
      <w:pPr>
        <w:ind w:left="6316" w:hanging="360"/>
      </w:pPr>
    </w:lvl>
    <w:lvl w:ilvl="5">
      <w:numFmt w:val="bullet"/>
      <w:lvlText w:val="•"/>
      <w:lvlJc w:val="left"/>
      <w:pPr>
        <w:ind w:left="7130" w:hanging="360"/>
      </w:pPr>
    </w:lvl>
    <w:lvl w:ilvl="6">
      <w:numFmt w:val="bullet"/>
      <w:lvlText w:val="•"/>
      <w:lvlJc w:val="left"/>
      <w:pPr>
        <w:ind w:left="7944" w:hanging="360"/>
      </w:pPr>
    </w:lvl>
    <w:lvl w:ilvl="7">
      <w:numFmt w:val="bullet"/>
      <w:lvlText w:val="•"/>
      <w:lvlJc w:val="left"/>
      <w:pPr>
        <w:ind w:left="8758" w:hanging="360"/>
      </w:pPr>
    </w:lvl>
    <w:lvl w:ilvl="8">
      <w:numFmt w:val="bullet"/>
      <w:lvlText w:val="•"/>
      <w:lvlJc w:val="left"/>
      <w:pPr>
        <w:ind w:left="9572" w:hanging="360"/>
      </w:pPr>
    </w:lvl>
  </w:abstractNum>
  <w:abstractNum w:abstractNumId="22" w15:restartNumberingAfterBreak="0">
    <w:nsid w:val="3AB85389"/>
    <w:multiLevelType w:val="multilevel"/>
    <w:tmpl w:val="E2A8FC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AD96916"/>
    <w:multiLevelType w:val="hybridMultilevel"/>
    <w:tmpl w:val="86BC6EF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15:restartNumberingAfterBreak="0">
    <w:nsid w:val="42BD10CB"/>
    <w:multiLevelType w:val="hybridMultilevel"/>
    <w:tmpl w:val="F7E4740E"/>
    <w:lvl w:ilvl="0" w:tplc="0C0A000D">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5" w15:restartNumberingAfterBreak="0">
    <w:nsid w:val="48F40913"/>
    <w:multiLevelType w:val="multilevel"/>
    <w:tmpl w:val="B9B8747E"/>
    <w:lvl w:ilvl="0">
      <w:start w:val="1"/>
      <w:numFmt w:val="decimal"/>
      <w:lvlText w:val="%1."/>
      <w:lvlJc w:val="left"/>
      <w:pPr>
        <w:ind w:left="360" w:hanging="360"/>
      </w:pPr>
    </w:lvl>
    <w:lvl w:ilvl="1">
      <w:start w:val="1"/>
      <w:numFmt w:val="decimal"/>
      <w:lvlText w:val="%1.%2."/>
      <w:lvlJc w:val="left"/>
      <w:pPr>
        <w:ind w:left="502" w:hanging="360"/>
      </w:pPr>
    </w:lvl>
    <w:lvl w:ilvl="2">
      <w:start w:val="1"/>
      <w:numFmt w:val="decimal"/>
      <w:lvlText w:val="%1.%2.%3."/>
      <w:lvlJc w:val="left"/>
      <w:pPr>
        <w:ind w:left="1004" w:hanging="720"/>
      </w:p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1932" w:hanging="1080"/>
      </w:pPr>
    </w:lvl>
    <w:lvl w:ilvl="7">
      <w:start w:val="1"/>
      <w:numFmt w:val="decimal"/>
      <w:lvlText w:val="%1.%2.%3.%4.%5.%6.%7.%8."/>
      <w:lvlJc w:val="left"/>
      <w:pPr>
        <w:ind w:left="2434" w:hanging="1440"/>
      </w:pPr>
    </w:lvl>
    <w:lvl w:ilvl="8">
      <w:start w:val="1"/>
      <w:numFmt w:val="decimal"/>
      <w:lvlText w:val="%1.%2.%3.%4.%5.%6.%7.%8.%9."/>
      <w:lvlJc w:val="left"/>
      <w:pPr>
        <w:ind w:left="2576" w:hanging="1439"/>
      </w:pPr>
    </w:lvl>
  </w:abstractNum>
  <w:abstractNum w:abstractNumId="26" w15:restartNumberingAfterBreak="0">
    <w:nsid w:val="4CD00902"/>
    <w:multiLevelType w:val="multilevel"/>
    <w:tmpl w:val="71D8DBC0"/>
    <w:lvl w:ilvl="0">
      <w:start w:val="1"/>
      <w:numFmt w:val="decimal"/>
      <w:lvlText w:val="%1"/>
      <w:lvlJc w:val="left"/>
      <w:pPr>
        <w:ind w:left="3061" w:hanging="360"/>
      </w:pPr>
    </w:lvl>
    <w:lvl w:ilvl="1">
      <w:start w:val="1"/>
      <w:numFmt w:val="decimal"/>
      <w:lvlText w:val="%1.%2"/>
      <w:lvlJc w:val="left"/>
      <w:pPr>
        <w:ind w:left="644" w:hanging="359"/>
      </w:pPr>
      <w:rPr>
        <w:rFonts w:ascii="Times New Roman" w:eastAsia="Times New Roman" w:hAnsi="Times New Roman" w:cs="Times New Roman"/>
        <w:sz w:val="16"/>
        <w:szCs w:val="16"/>
      </w:rPr>
    </w:lvl>
    <w:lvl w:ilvl="2">
      <w:numFmt w:val="bullet"/>
      <w:lvlText w:val="•"/>
      <w:lvlJc w:val="left"/>
      <w:pPr>
        <w:ind w:left="4688" w:hanging="360"/>
      </w:pPr>
    </w:lvl>
    <w:lvl w:ilvl="3">
      <w:numFmt w:val="bullet"/>
      <w:lvlText w:val="•"/>
      <w:lvlJc w:val="left"/>
      <w:pPr>
        <w:ind w:left="5502" w:hanging="360"/>
      </w:pPr>
    </w:lvl>
    <w:lvl w:ilvl="4">
      <w:numFmt w:val="bullet"/>
      <w:lvlText w:val="•"/>
      <w:lvlJc w:val="left"/>
      <w:pPr>
        <w:ind w:left="6316" w:hanging="360"/>
      </w:pPr>
    </w:lvl>
    <w:lvl w:ilvl="5">
      <w:numFmt w:val="bullet"/>
      <w:lvlText w:val="•"/>
      <w:lvlJc w:val="left"/>
      <w:pPr>
        <w:ind w:left="7130" w:hanging="360"/>
      </w:pPr>
    </w:lvl>
    <w:lvl w:ilvl="6">
      <w:numFmt w:val="bullet"/>
      <w:lvlText w:val="•"/>
      <w:lvlJc w:val="left"/>
      <w:pPr>
        <w:ind w:left="7944" w:hanging="360"/>
      </w:pPr>
    </w:lvl>
    <w:lvl w:ilvl="7">
      <w:numFmt w:val="bullet"/>
      <w:lvlText w:val="•"/>
      <w:lvlJc w:val="left"/>
      <w:pPr>
        <w:ind w:left="8758" w:hanging="360"/>
      </w:pPr>
    </w:lvl>
    <w:lvl w:ilvl="8">
      <w:numFmt w:val="bullet"/>
      <w:lvlText w:val="•"/>
      <w:lvlJc w:val="left"/>
      <w:pPr>
        <w:ind w:left="9572" w:hanging="360"/>
      </w:pPr>
    </w:lvl>
  </w:abstractNum>
  <w:abstractNum w:abstractNumId="27" w15:restartNumberingAfterBreak="0">
    <w:nsid w:val="4F605922"/>
    <w:multiLevelType w:val="hybridMultilevel"/>
    <w:tmpl w:val="500077B0"/>
    <w:lvl w:ilvl="0" w:tplc="0C0A0001">
      <w:start w:val="1"/>
      <w:numFmt w:val="bullet"/>
      <w:lvlText w:val=""/>
      <w:lvlJc w:val="left"/>
      <w:pPr>
        <w:ind w:left="1566" w:hanging="360"/>
      </w:pPr>
      <w:rPr>
        <w:rFonts w:ascii="Symbol" w:hAnsi="Symbol" w:hint="default"/>
      </w:rPr>
    </w:lvl>
    <w:lvl w:ilvl="1" w:tplc="0C0A0003" w:tentative="1">
      <w:start w:val="1"/>
      <w:numFmt w:val="bullet"/>
      <w:lvlText w:val="o"/>
      <w:lvlJc w:val="left"/>
      <w:pPr>
        <w:ind w:left="2286" w:hanging="360"/>
      </w:pPr>
      <w:rPr>
        <w:rFonts w:ascii="Courier New" w:hAnsi="Courier New" w:cs="Courier New" w:hint="default"/>
      </w:rPr>
    </w:lvl>
    <w:lvl w:ilvl="2" w:tplc="0C0A0005" w:tentative="1">
      <w:start w:val="1"/>
      <w:numFmt w:val="bullet"/>
      <w:lvlText w:val=""/>
      <w:lvlJc w:val="left"/>
      <w:pPr>
        <w:ind w:left="3006" w:hanging="360"/>
      </w:pPr>
      <w:rPr>
        <w:rFonts w:ascii="Wingdings" w:hAnsi="Wingdings" w:hint="default"/>
      </w:rPr>
    </w:lvl>
    <w:lvl w:ilvl="3" w:tplc="0C0A0001" w:tentative="1">
      <w:start w:val="1"/>
      <w:numFmt w:val="bullet"/>
      <w:lvlText w:val=""/>
      <w:lvlJc w:val="left"/>
      <w:pPr>
        <w:ind w:left="3726" w:hanging="360"/>
      </w:pPr>
      <w:rPr>
        <w:rFonts w:ascii="Symbol" w:hAnsi="Symbol" w:hint="default"/>
      </w:rPr>
    </w:lvl>
    <w:lvl w:ilvl="4" w:tplc="0C0A0003" w:tentative="1">
      <w:start w:val="1"/>
      <w:numFmt w:val="bullet"/>
      <w:lvlText w:val="o"/>
      <w:lvlJc w:val="left"/>
      <w:pPr>
        <w:ind w:left="4446" w:hanging="360"/>
      </w:pPr>
      <w:rPr>
        <w:rFonts w:ascii="Courier New" w:hAnsi="Courier New" w:cs="Courier New" w:hint="default"/>
      </w:rPr>
    </w:lvl>
    <w:lvl w:ilvl="5" w:tplc="0C0A0005" w:tentative="1">
      <w:start w:val="1"/>
      <w:numFmt w:val="bullet"/>
      <w:lvlText w:val=""/>
      <w:lvlJc w:val="left"/>
      <w:pPr>
        <w:ind w:left="5166" w:hanging="360"/>
      </w:pPr>
      <w:rPr>
        <w:rFonts w:ascii="Wingdings" w:hAnsi="Wingdings" w:hint="default"/>
      </w:rPr>
    </w:lvl>
    <w:lvl w:ilvl="6" w:tplc="0C0A0001" w:tentative="1">
      <w:start w:val="1"/>
      <w:numFmt w:val="bullet"/>
      <w:lvlText w:val=""/>
      <w:lvlJc w:val="left"/>
      <w:pPr>
        <w:ind w:left="5886" w:hanging="360"/>
      </w:pPr>
      <w:rPr>
        <w:rFonts w:ascii="Symbol" w:hAnsi="Symbol" w:hint="default"/>
      </w:rPr>
    </w:lvl>
    <w:lvl w:ilvl="7" w:tplc="0C0A0003" w:tentative="1">
      <w:start w:val="1"/>
      <w:numFmt w:val="bullet"/>
      <w:lvlText w:val="o"/>
      <w:lvlJc w:val="left"/>
      <w:pPr>
        <w:ind w:left="6606" w:hanging="360"/>
      </w:pPr>
      <w:rPr>
        <w:rFonts w:ascii="Courier New" w:hAnsi="Courier New" w:cs="Courier New" w:hint="default"/>
      </w:rPr>
    </w:lvl>
    <w:lvl w:ilvl="8" w:tplc="0C0A0005" w:tentative="1">
      <w:start w:val="1"/>
      <w:numFmt w:val="bullet"/>
      <w:lvlText w:val=""/>
      <w:lvlJc w:val="left"/>
      <w:pPr>
        <w:ind w:left="7326" w:hanging="360"/>
      </w:pPr>
      <w:rPr>
        <w:rFonts w:ascii="Wingdings" w:hAnsi="Wingdings" w:hint="default"/>
      </w:rPr>
    </w:lvl>
  </w:abstractNum>
  <w:abstractNum w:abstractNumId="28" w15:restartNumberingAfterBreak="0">
    <w:nsid w:val="507C62D7"/>
    <w:multiLevelType w:val="multilevel"/>
    <w:tmpl w:val="46FA745E"/>
    <w:lvl w:ilvl="0">
      <w:start w:val="1"/>
      <w:numFmt w:val="decimal"/>
      <w:lvlText w:val="%1"/>
      <w:lvlJc w:val="left"/>
      <w:pPr>
        <w:ind w:left="360" w:hanging="360"/>
      </w:pPr>
      <w:rPr>
        <w:rFonts w:hint="default"/>
        <w:color w:val="000000"/>
      </w:rPr>
    </w:lvl>
    <w:lvl w:ilvl="1">
      <w:start w:val="4"/>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29" w15:restartNumberingAfterBreak="0">
    <w:nsid w:val="56430197"/>
    <w:multiLevelType w:val="hybridMultilevel"/>
    <w:tmpl w:val="731ED0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8310F78"/>
    <w:multiLevelType w:val="hybridMultilevel"/>
    <w:tmpl w:val="3C90AFA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1" w15:restartNumberingAfterBreak="0">
    <w:nsid w:val="5A9A1489"/>
    <w:multiLevelType w:val="multilevel"/>
    <w:tmpl w:val="130617FC"/>
    <w:lvl w:ilvl="0">
      <w:start w:val="1"/>
      <w:numFmt w:val="decimal"/>
      <w:lvlText w:val="%1"/>
      <w:lvlJc w:val="left"/>
      <w:pPr>
        <w:ind w:left="360" w:hanging="360"/>
      </w:pPr>
    </w:lvl>
    <w:lvl w:ilvl="1">
      <w:start w:val="1"/>
      <w:numFmt w:val="decimal"/>
      <w:lvlText w:val="%1.%2"/>
      <w:lvlJc w:val="left"/>
      <w:pPr>
        <w:ind w:left="1800" w:hanging="36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10080" w:hanging="1440"/>
      </w:pPr>
    </w:lvl>
    <w:lvl w:ilvl="7">
      <w:start w:val="1"/>
      <w:numFmt w:val="decimal"/>
      <w:lvlText w:val="%1.%2.%3.%4.%5.%6.%7.%8"/>
      <w:lvlJc w:val="left"/>
      <w:pPr>
        <w:ind w:left="11520" w:hanging="1440"/>
      </w:pPr>
    </w:lvl>
    <w:lvl w:ilvl="8">
      <w:start w:val="1"/>
      <w:numFmt w:val="decimal"/>
      <w:lvlText w:val="%1.%2.%3.%4.%5.%6.%7.%8.%9"/>
      <w:lvlJc w:val="left"/>
      <w:pPr>
        <w:ind w:left="13320" w:hanging="1800"/>
      </w:pPr>
    </w:lvl>
  </w:abstractNum>
  <w:abstractNum w:abstractNumId="32" w15:restartNumberingAfterBreak="0">
    <w:nsid w:val="5B644FA8"/>
    <w:multiLevelType w:val="multilevel"/>
    <w:tmpl w:val="68C6E8B6"/>
    <w:lvl w:ilvl="0">
      <w:start w:val="1"/>
      <w:numFmt w:val="decimal"/>
      <w:lvlText w:val="%1."/>
      <w:lvlJc w:val="left"/>
      <w:pPr>
        <w:ind w:left="1476" w:hanging="216"/>
      </w:pPr>
      <w:rPr>
        <w:rFonts w:ascii="Carlito" w:eastAsia="Carlito" w:hAnsi="Carlito" w:cs="Carlito"/>
        <w:sz w:val="22"/>
        <w:szCs w:val="22"/>
      </w:rPr>
    </w:lvl>
    <w:lvl w:ilvl="1">
      <w:start w:val="1"/>
      <w:numFmt w:val="upperRoman"/>
      <w:lvlText w:val="%2."/>
      <w:lvlJc w:val="left"/>
      <w:pPr>
        <w:ind w:left="2701" w:hanging="719"/>
      </w:pPr>
      <w:rPr>
        <w:rFonts w:ascii="Times New Roman" w:eastAsia="Times New Roman" w:hAnsi="Times New Roman" w:cs="Times New Roman"/>
        <w:b/>
        <w:sz w:val="16"/>
        <w:szCs w:val="16"/>
      </w:rPr>
    </w:lvl>
    <w:lvl w:ilvl="2">
      <w:numFmt w:val="bullet"/>
      <w:lvlText w:val="•"/>
      <w:lvlJc w:val="left"/>
      <w:pPr>
        <w:ind w:left="3644" w:hanging="720"/>
      </w:pPr>
    </w:lvl>
    <w:lvl w:ilvl="3">
      <w:numFmt w:val="bullet"/>
      <w:lvlText w:val="•"/>
      <w:lvlJc w:val="left"/>
      <w:pPr>
        <w:ind w:left="4588" w:hanging="720"/>
      </w:pPr>
    </w:lvl>
    <w:lvl w:ilvl="4">
      <w:numFmt w:val="bullet"/>
      <w:lvlText w:val="•"/>
      <w:lvlJc w:val="left"/>
      <w:pPr>
        <w:ind w:left="5533" w:hanging="720"/>
      </w:pPr>
    </w:lvl>
    <w:lvl w:ilvl="5">
      <w:numFmt w:val="bullet"/>
      <w:lvlText w:val="•"/>
      <w:lvlJc w:val="left"/>
      <w:pPr>
        <w:ind w:left="6477" w:hanging="720"/>
      </w:pPr>
    </w:lvl>
    <w:lvl w:ilvl="6">
      <w:numFmt w:val="bullet"/>
      <w:lvlText w:val="•"/>
      <w:lvlJc w:val="left"/>
      <w:pPr>
        <w:ind w:left="7422" w:hanging="720"/>
      </w:pPr>
    </w:lvl>
    <w:lvl w:ilvl="7">
      <w:numFmt w:val="bullet"/>
      <w:lvlText w:val="•"/>
      <w:lvlJc w:val="left"/>
      <w:pPr>
        <w:ind w:left="8366" w:hanging="720"/>
      </w:pPr>
    </w:lvl>
    <w:lvl w:ilvl="8">
      <w:numFmt w:val="bullet"/>
      <w:lvlText w:val="•"/>
      <w:lvlJc w:val="left"/>
      <w:pPr>
        <w:ind w:left="9311" w:hanging="720"/>
      </w:pPr>
    </w:lvl>
  </w:abstractNum>
  <w:abstractNum w:abstractNumId="33" w15:restartNumberingAfterBreak="0">
    <w:nsid w:val="5E5B1B88"/>
    <w:multiLevelType w:val="multilevel"/>
    <w:tmpl w:val="B3DA381A"/>
    <w:lvl w:ilvl="0">
      <w:start w:val="1"/>
      <w:numFmt w:val="upperRoman"/>
      <w:lvlText w:val="%1."/>
      <w:lvlJc w:val="right"/>
      <w:pPr>
        <w:ind w:left="360" w:hanging="360"/>
      </w:pPr>
    </w:lvl>
    <w:lvl w:ilvl="1">
      <w:start w:val="1"/>
      <w:numFmt w:val="decimal"/>
      <w:lvlText w:val="%1.%2"/>
      <w:lvlJc w:val="left"/>
      <w:pPr>
        <w:ind w:left="1353" w:hanging="359"/>
      </w:pPr>
    </w:lvl>
    <w:lvl w:ilvl="2">
      <w:start w:val="1"/>
      <w:numFmt w:val="decimal"/>
      <w:lvlText w:val="%1.%2.%3"/>
      <w:lvlJc w:val="left"/>
      <w:pPr>
        <w:ind w:left="1440" w:hanging="720"/>
      </w:pPr>
    </w:lvl>
    <w:lvl w:ilvl="3">
      <w:start w:val="1"/>
      <w:numFmt w:val="bullet"/>
      <w:lvlText w:val="−"/>
      <w:lvlJc w:val="left"/>
      <w:pPr>
        <w:ind w:left="1800" w:hanging="720"/>
      </w:pPr>
      <w:rPr>
        <w:rFonts w:ascii="Noto Sans Symbols" w:eastAsia="Noto Sans Symbols" w:hAnsi="Noto Sans Symbols" w:cs="Noto Sans Symbols"/>
      </w:rPr>
    </w:lvl>
    <w:lvl w:ilvl="4">
      <w:start w:val="1"/>
      <w:numFmt w:val="decimal"/>
      <w:lvlText w:val="%1.%2.%3.−.%5"/>
      <w:lvlJc w:val="left"/>
      <w:pPr>
        <w:ind w:left="2520" w:hanging="1080"/>
      </w:pPr>
    </w:lvl>
    <w:lvl w:ilvl="5">
      <w:start w:val="1"/>
      <w:numFmt w:val="decimal"/>
      <w:lvlText w:val="%1.%2.%3.−.%5.%6"/>
      <w:lvlJc w:val="left"/>
      <w:pPr>
        <w:ind w:left="3240" w:hanging="1440"/>
      </w:pPr>
    </w:lvl>
    <w:lvl w:ilvl="6">
      <w:start w:val="1"/>
      <w:numFmt w:val="decimal"/>
      <w:lvlText w:val="%1.%2.%3.−.%5.%6.%7"/>
      <w:lvlJc w:val="left"/>
      <w:pPr>
        <w:ind w:left="3600" w:hanging="1440"/>
      </w:pPr>
    </w:lvl>
    <w:lvl w:ilvl="7">
      <w:start w:val="1"/>
      <w:numFmt w:val="decimal"/>
      <w:lvlText w:val="%1.%2.%3.−.%5.%6.%7.%8"/>
      <w:lvlJc w:val="left"/>
      <w:pPr>
        <w:ind w:left="4320" w:hanging="1800"/>
      </w:pPr>
    </w:lvl>
    <w:lvl w:ilvl="8">
      <w:start w:val="1"/>
      <w:numFmt w:val="decimal"/>
      <w:lvlText w:val="%1.%2.%3.−.%5.%6.%7.%8.%9"/>
      <w:lvlJc w:val="left"/>
      <w:pPr>
        <w:ind w:left="4680" w:hanging="1800"/>
      </w:pPr>
    </w:lvl>
  </w:abstractNum>
  <w:abstractNum w:abstractNumId="34" w15:restartNumberingAfterBreak="0">
    <w:nsid w:val="62E81DD9"/>
    <w:multiLevelType w:val="multilevel"/>
    <w:tmpl w:val="87A0785E"/>
    <w:lvl w:ilvl="0">
      <w:start w:val="1"/>
      <w:numFmt w:val="decimal"/>
      <w:lvlText w:val="%1"/>
      <w:lvlJc w:val="left"/>
      <w:pPr>
        <w:ind w:left="360" w:hanging="360"/>
      </w:pPr>
      <w:rPr>
        <w:rFonts w:hint="default"/>
        <w:color w:val="000000"/>
      </w:rPr>
    </w:lvl>
    <w:lvl w:ilvl="1">
      <w:start w:val="3"/>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5" w15:restartNumberingAfterBreak="0">
    <w:nsid w:val="6843127E"/>
    <w:multiLevelType w:val="multilevel"/>
    <w:tmpl w:val="37CE5F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C0C575D"/>
    <w:multiLevelType w:val="hybridMultilevel"/>
    <w:tmpl w:val="BDB092F2"/>
    <w:lvl w:ilvl="0" w:tplc="BDB2F54A">
      <w:start w:val="1"/>
      <w:numFmt w:val="lowerLetter"/>
      <w:lvlText w:val="%1."/>
      <w:lvlJc w:val="left"/>
      <w:pPr>
        <w:ind w:left="360" w:hanging="360"/>
      </w:pPr>
      <w:rPr>
        <w:b w:val="0"/>
        <w:sz w:val="22"/>
        <w:szCs w:val="22"/>
      </w:rPr>
    </w:lvl>
    <w:lvl w:ilvl="1" w:tplc="280A0019">
      <w:start w:val="1"/>
      <w:numFmt w:val="lowerLetter"/>
      <w:lvlText w:val="%2."/>
      <w:lvlJc w:val="left"/>
      <w:pPr>
        <w:ind w:left="1724" w:hanging="360"/>
      </w:pPr>
    </w:lvl>
    <w:lvl w:ilvl="2" w:tplc="280A001B" w:tentative="1">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37" w15:restartNumberingAfterBreak="0">
    <w:nsid w:val="7052461C"/>
    <w:multiLevelType w:val="hybridMultilevel"/>
    <w:tmpl w:val="C1E26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0D30FB9"/>
    <w:multiLevelType w:val="multilevel"/>
    <w:tmpl w:val="C37876C2"/>
    <w:lvl w:ilvl="0">
      <w:start w:val="1"/>
      <w:numFmt w:val="decimal"/>
      <w:lvlText w:val="%1"/>
      <w:lvlJc w:val="left"/>
      <w:pPr>
        <w:ind w:left="480" w:hanging="480"/>
      </w:pPr>
      <w:rPr>
        <w:rFonts w:hint="default"/>
      </w:rPr>
    </w:lvl>
    <w:lvl w:ilvl="1">
      <w:start w:val="4"/>
      <w:numFmt w:val="decimal"/>
      <w:lvlText w:val="%1.%2"/>
      <w:lvlJc w:val="left"/>
      <w:pPr>
        <w:ind w:left="693" w:hanging="480"/>
      </w:pPr>
      <w:rPr>
        <w:rFonts w:hint="default"/>
      </w:rPr>
    </w:lvl>
    <w:lvl w:ilvl="2">
      <w:start w:val="2"/>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39" w15:restartNumberingAfterBreak="0">
    <w:nsid w:val="71E815B9"/>
    <w:multiLevelType w:val="hybridMultilevel"/>
    <w:tmpl w:val="FFB69B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3636FD8"/>
    <w:multiLevelType w:val="hybridMultilevel"/>
    <w:tmpl w:val="12220F3A"/>
    <w:lvl w:ilvl="0" w:tplc="0C0A000D">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41" w15:restartNumberingAfterBreak="0">
    <w:nsid w:val="73A42332"/>
    <w:multiLevelType w:val="multilevel"/>
    <w:tmpl w:val="C8C4A47C"/>
    <w:lvl w:ilvl="0">
      <w:start w:val="2"/>
      <w:numFmt w:val="decimal"/>
      <w:lvlText w:val="%1"/>
      <w:lvlJc w:val="left"/>
      <w:pPr>
        <w:ind w:left="480" w:hanging="480"/>
      </w:pPr>
    </w:lvl>
    <w:lvl w:ilvl="1">
      <w:start w:val="2"/>
      <w:numFmt w:val="decimal"/>
      <w:lvlText w:val="%1.%2"/>
      <w:lvlJc w:val="left"/>
      <w:pPr>
        <w:ind w:left="693" w:hanging="480"/>
      </w:pPr>
    </w:lvl>
    <w:lvl w:ilvl="2">
      <w:start w:val="1"/>
      <w:numFmt w:val="decimal"/>
      <w:lvlText w:val="%1.%2.%3"/>
      <w:lvlJc w:val="left"/>
      <w:pPr>
        <w:ind w:left="1146" w:hanging="720"/>
      </w:pPr>
    </w:lvl>
    <w:lvl w:ilvl="3">
      <w:start w:val="1"/>
      <w:numFmt w:val="decimal"/>
      <w:lvlText w:val="%1.%2.%3.%4"/>
      <w:lvlJc w:val="left"/>
      <w:pPr>
        <w:ind w:left="1359" w:hanging="720"/>
      </w:pPr>
    </w:lvl>
    <w:lvl w:ilvl="4">
      <w:start w:val="1"/>
      <w:numFmt w:val="decimal"/>
      <w:lvlText w:val="%1.%2.%3.%4.%5"/>
      <w:lvlJc w:val="left"/>
      <w:pPr>
        <w:ind w:left="1932" w:hanging="1080"/>
      </w:pPr>
    </w:lvl>
    <w:lvl w:ilvl="5">
      <w:start w:val="1"/>
      <w:numFmt w:val="decimal"/>
      <w:lvlText w:val="%1.%2.%3.%4.%5.%6"/>
      <w:lvlJc w:val="left"/>
      <w:pPr>
        <w:ind w:left="2145" w:hanging="1080"/>
      </w:pPr>
    </w:lvl>
    <w:lvl w:ilvl="6">
      <w:start w:val="1"/>
      <w:numFmt w:val="decimal"/>
      <w:lvlText w:val="%1.%2.%3.%4.%5.%6.%7"/>
      <w:lvlJc w:val="left"/>
      <w:pPr>
        <w:ind w:left="2718" w:hanging="1440"/>
      </w:pPr>
    </w:lvl>
    <w:lvl w:ilvl="7">
      <w:start w:val="1"/>
      <w:numFmt w:val="decimal"/>
      <w:lvlText w:val="%1.%2.%3.%4.%5.%6.%7.%8"/>
      <w:lvlJc w:val="left"/>
      <w:pPr>
        <w:ind w:left="2931" w:hanging="1439"/>
      </w:pPr>
    </w:lvl>
    <w:lvl w:ilvl="8">
      <w:start w:val="1"/>
      <w:numFmt w:val="decimal"/>
      <w:lvlText w:val="%1.%2.%3.%4.%5.%6.%7.%8.%9"/>
      <w:lvlJc w:val="left"/>
      <w:pPr>
        <w:ind w:left="3504" w:hanging="1800"/>
      </w:pPr>
    </w:lvl>
  </w:abstractNum>
  <w:abstractNum w:abstractNumId="42" w15:restartNumberingAfterBreak="0">
    <w:nsid w:val="74331B52"/>
    <w:multiLevelType w:val="hybridMultilevel"/>
    <w:tmpl w:val="8F80CBC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3" w15:restartNumberingAfterBreak="0">
    <w:nsid w:val="77A82DE1"/>
    <w:multiLevelType w:val="multilevel"/>
    <w:tmpl w:val="A36A94D6"/>
    <w:lvl w:ilvl="0">
      <w:start w:val="1"/>
      <w:numFmt w:val="decimal"/>
      <w:lvlText w:val="%1."/>
      <w:lvlJc w:val="left"/>
      <w:pPr>
        <w:ind w:left="360" w:hanging="360"/>
      </w:pPr>
      <w:rPr>
        <w:b/>
      </w:rPr>
    </w:lvl>
    <w:lvl w:ilvl="1">
      <w:start w:val="1"/>
      <w:numFmt w:val="decimal"/>
      <w:lvlText w:val="%1.%2."/>
      <w:lvlJc w:val="left"/>
      <w:pPr>
        <w:ind w:left="502" w:hanging="360"/>
      </w:pPr>
      <w:rPr>
        <w:b w:val="0"/>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44" w15:restartNumberingAfterBreak="0">
    <w:nsid w:val="7A59749E"/>
    <w:multiLevelType w:val="hybridMultilevel"/>
    <w:tmpl w:val="945ACC42"/>
    <w:lvl w:ilvl="0" w:tplc="BC6CEB90">
      <w:start w:val="1"/>
      <w:numFmt w:val="upperLetter"/>
      <w:lvlText w:val="%1."/>
      <w:lvlJc w:val="left"/>
      <w:pPr>
        <w:ind w:left="846" w:hanging="360"/>
      </w:pPr>
      <w:rPr>
        <w:rFonts w:hint="default"/>
      </w:rPr>
    </w:lvl>
    <w:lvl w:ilvl="1" w:tplc="0C0A0019" w:tentative="1">
      <w:start w:val="1"/>
      <w:numFmt w:val="lowerLetter"/>
      <w:lvlText w:val="%2."/>
      <w:lvlJc w:val="left"/>
      <w:pPr>
        <w:ind w:left="1566" w:hanging="360"/>
      </w:pPr>
    </w:lvl>
    <w:lvl w:ilvl="2" w:tplc="0C0A001B" w:tentative="1">
      <w:start w:val="1"/>
      <w:numFmt w:val="lowerRoman"/>
      <w:lvlText w:val="%3."/>
      <w:lvlJc w:val="right"/>
      <w:pPr>
        <w:ind w:left="2286" w:hanging="180"/>
      </w:pPr>
    </w:lvl>
    <w:lvl w:ilvl="3" w:tplc="0C0A000F" w:tentative="1">
      <w:start w:val="1"/>
      <w:numFmt w:val="decimal"/>
      <w:lvlText w:val="%4."/>
      <w:lvlJc w:val="left"/>
      <w:pPr>
        <w:ind w:left="3006" w:hanging="360"/>
      </w:pPr>
    </w:lvl>
    <w:lvl w:ilvl="4" w:tplc="0C0A0019" w:tentative="1">
      <w:start w:val="1"/>
      <w:numFmt w:val="lowerLetter"/>
      <w:lvlText w:val="%5."/>
      <w:lvlJc w:val="left"/>
      <w:pPr>
        <w:ind w:left="3726" w:hanging="360"/>
      </w:pPr>
    </w:lvl>
    <w:lvl w:ilvl="5" w:tplc="0C0A001B" w:tentative="1">
      <w:start w:val="1"/>
      <w:numFmt w:val="lowerRoman"/>
      <w:lvlText w:val="%6."/>
      <w:lvlJc w:val="right"/>
      <w:pPr>
        <w:ind w:left="4446" w:hanging="180"/>
      </w:pPr>
    </w:lvl>
    <w:lvl w:ilvl="6" w:tplc="0C0A000F" w:tentative="1">
      <w:start w:val="1"/>
      <w:numFmt w:val="decimal"/>
      <w:lvlText w:val="%7."/>
      <w:lvlJc w:val="left"/>
      <w:pPr>
        <w:ind w:left="5166" w:hanging="360"/>
      </w:pPr>
    </w:lvl>
    <w:lvl w:ilvl="7" w:tplc="0C0A0019" w:tentative="1">
      <w:start w:val="1"/>
      <w:numFmt w:val="lowerLetter"/>
      <w:lvlText w:val="%8."/>
      <w:lvlJc w:val="left"/>
      <w:pPr>
        <w:ind w:left="5886" w:hanging="360"/>
      </w:pPr>
    </w:lvl>
    <w:lvl w:ilvl="8" w:tplc="0C0A001B" w:tentative="1">
      <w:start w:val="1"/>
      <w:numFmt w:val="lowerRoman"/>
      <w:lvlText w:val="%9."/>
      <w:lvlJc w:val="right"/>
      <w:pPr>
        <w:ind w:left="6606" w:hanging="180"/>
      </w:pPr>
    </w:lvl>
  </w:abstractNum>
  <w:abstractNum w:abstractNumId="45" w15:restartNumberingAfterBreak="0">
    <w:nsid w:val="7C4A73FA"/>
    <w:multiLevelType w:val="hybridMultilevel"/>
    <w:tmpl w:val="59686244"/>
    <w:lvl w:ilvl="0" w:tplc="0C0A000B">
      <w:start w:val="1"/>
      <w:numFmt w:val="bullet"/>
      <w:lvlText w:val=""/>
      <w:lvlJc w:val="left"/>
      <w:pPr>
        <w:ind w:left="1572" w:hanging="360"/>
      </w:pPr>
      <w:rPr>
        <w:rFonts w:ascii="Wingdings" w:hAnsi="Wingdings" w:hint="default"/>
      </w:rPr>
    </w:lvl>
    <w:lvl w:ilvl="1" w:tplc="FFFFFFFF" w:tentative="1">
      <w:start w:val="1"/>
      <w:numFmt w:val="bullet"/>
      <w:lvlText w:val="o"/>
      <w:lvlJc w:val="left"/>
      <w:pPr>
        <w:ind w:left="2292" w:hanging="360"/>
      </w:pPr>
      <w:rPr>
        <w:rFonts w:ascii="Courier New" w:hAnsi="Courier New" w:cs="Courier New" w:hint="default"/>
      </w:rPr>
    </w:lvl>
    <w:lvl w:ilvl="2" w:tplc="FFFFFFFF" w:tentative="1">
      <w:start w:val="1"/>
      <w:numFmt w:val="bullet"/>
      <w:lvlText w:val=""/>
      <w:lvlJc w:val="left"/>
      <w:pPr>
        <w:ind w:left="3012" w:hanging="360"/>
      </w:pPr>
      <w:rPr>
        <w:rFonts w:ascii="Wingdings" w:hAnsi="Wingdings" w:hint="default"/>
      </w:rPr>
    </w:lvl>
    <w:lvl w:ilvl="3" w:tplc="FFFFFFFF" w:tentative="1">
      <w:start w:val="1"/>
      <w:numFmt w:val="bullet"/>
      <w:lvlText w:val=""/>
      <w:lvlJc w:val="left"/>
      <w:pPr>
        <w:ind w:left="3732" w:hanging="360"/>
      </w:pPr>
      <w:rPr>
        <w:rFonts w:ascii="Symbol" w:hAnsi="Symbol" w:hint="default"/>
      </w:rPr>
    </w:lvl>
    <w:lvl w:ilvl="4" w:tplc="FFFFFFFF" w:tentative="1">
      <w:start w:val="1"/>
      <w:numFmt w:val="bullet"/>
      <w:lvlText w:val="o"/>
      <w:lvlJc w:val="left"/>
      <w:pPr>
        <w:ind w:left="4452" w:hanging="360"/>
      </w:pPr>
      <w:rPr>
        <w:rFonts w:ascii="Courier New" w:hAnsi="Courier New" w:cs="Courier New" w:hint="default"/>
      </w:rPr>
    </w:lvl>
    <w:lvl w:ilvl="5" w:tplc="FFFFFFFF" w:tentative="1">
      <w:start w:val="1"/>
      <w:numFmt w:val="bullet"/>
      <w:lvlText w:val=""/>
      <w:lvlJc w:val="left"/>
      <w:pPr>
        <w:ind w:left="5172" w:hanging="360"/>
      </w:pPr>
      <w:rPr>
        <w:rFonts w:ascii="Wingdings" w:hAnsi="Wingdings" w:hint="default"/>
      </w:rPr>
    </w:lvl>
    <w:lvl w:ilvl="6" w:tplc="FFFFFFFF" w:tentative="1">
      <w:start w:val="1"/>
      <w:numFmt w:val="bullet"/>
      <w:lvlText w:val=""/>
      <w:lvlJc w:val="left"/>
      <w:pPr>
        <w:ind w:left="5892" w:hanging="360"/>
      </w:pPr>
      <w:rPr>
        <w:rFonts w:ascii="Symbol" w:hAnsi="Symbol" w:hint="default"/>
      </w:rPr>
    </w:lvl>
    <w:lvl w:ilvl="7" w:tplc="FFFFFFFF" w:tentative="1">
      <w:start w:val="1"/>
      <w:numFmt w:val="bullet"/>
      <w:lvlText w:val="o"/>
      <w:lvlJc w:val="left"/>
      <w:pPr>
        <w:ind w:left="6612" w:hanging="360"/>
      </w:pPr>
      <w:rPr>
        <w:rFonts w:ascii="Courier New" w:hAnsi="Courier New" w:cs="Courier New" w:hint="default"/>
      </w:rPr>
    </w:lvl>
    <w:lvl w:ilvl="8" w:tplc="FFFFFFFF" w:tentative="1">
      <w:start w:val="1"/>
      <w:numFmt w:val="bullet"/>
      <w:lvlText w:val=""/>
      <w:lvlJc w:val="left"/>
      <w:pPr>
        <w:ind w:left="7332" w:hanging="360"/>
      </w:pPr>
      <w:rPr>
        <w:rFonts w:ascii="Wingdings" w:hAnsi="Wingdings" w:hint="default"/>
      </w:rPr>
    </w:lvl>
  </w:abstractNum>
  <w:abstractNum w:abstractNumId="46" w15:restartNumberingAfterBreak="0">
    <w:nsid w:val="7F937B46"/>
    <w:multiLevelType w:val="hybridMultilevel"/>
    <w:tmpl w:val="F43C3A5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num w:numId="1">
    <w:abstractNumId w:val="41"/>
  </w:num>
  <w:num w:numId="2">
    <w:abstractNumId w:val="35"/>
  </w:num>
  <w:num w:numId="3">
    <w:abstractNumId w:val="32"/>
  </w:num>
  <w:num w:numId="4">
    <w:abstractNumId w:val="5"/>
  </w:num>
  <w:num w:numId="5">
    <w:abstractNumId w:val="4"/>
  </w:num>
  <w:num w:numId="6">
    <w:abstractNumId w:val="22"/>
  </w:num>
  <w:num w:numId="7">
    <w:abstractNumId w:val="3"/>
  </w:num>
  <w:num w:numId="8">
    <w:abstractNumId w:val="12"/>
  </w:num>
  <w:num w:numId="9">
    <w:abstractNumId w:val="2"/>
  </w:num>
  <w:num w:numId="10">
    <w:abstractNumId w:val="14"/>
  </w:num>
  <w:num w:numId="11">
    <w:abstractNumId w:val="33"/>
  </w:num>
  <w:num w:numId="12">
    <w:abstractNumId w:val="31"/>
  </w:num>
  <w:num w:numId="13">
    <w:abstractNumId w:val="17"/>
  </w:num>
  <w:num w:numId="14">
    <w:abstractNumId w:val="25"/>
  </w:num>
  <w:num w:numId="15">
    <w:abstractNumId w:val="26"/>
  </w:num>
  <w:num w:numId="16">
    <w:abstractNumId w:val="43"/>
  </w:num>
  <w:num w:numId="17">
    <w:abstractNumId w:val="21"/>
  </w:num>
  <w:num w:numId="18">
    <w:abstractNumId w:val="1"/>
  </w:num>
  <w:num w:numId="19">
    <w:abstractNumId w:val="45"/>
  </w:num>
  <w:num w:numId="20">
    <w:abstractNumId w:val="15"/>
  </w:num>
  <w:num w:numId="21">
    <w:abstractNumId w:val="8"/>
  </w:num>
  <w:num w:numId="22">
    <w:abstractNumId w:val="24"/>
  </w:num>
  <w:num w:numId="23">
    <w:abstractNumId w:val="13"/>
  </w:num>
  <w:num w:numId="24">
    <w:abstractNumId w:val="7"/>
  </w:num>
  <w:num w:numId="25">
    <w:abstractNumId w:val="44"/>
  </w:num>
  <w:num w:numId="26">
    <w:abstractNumId w:val="23"/>
  </w:num>
  <w:num w:numId="27">
    <w:abstractNumId w:val="36"/>
  </w:num>
  <w:num w:numId="28">
    <w:abstractNumId w:val="20"/>
  </w:num>
  <w:num w:numId="29">
    <w:abstractNumId w:val="19"/>
  </w:num>
  <w:num w:numId="30">
    <w:abstractNumId w:val="6"/>
  </w:num>
  <w:num w:numId="31">
    <w:abstractNumId w:val="0"/>
  </w:num>
  <w:num w:numId="32">
    <w:abstractNumId w:val="30"/>
  </w:num>
  <w:num w:numId="33">
    <w:abstractNumId w:val="27"/>
  </w:num>
  <w:num w:numId="34">
    <w:abstractNumId w:val="11"/>
  </w:num>
  <w:num w:numId="35">
    <w:abstractNumId w:val="40"/>
  </w:num>
  <w:num w:numId="36">
    <w:abstractNumId w:val="46"/>
  </w:num>
  <w:num w:numId="37">
    <w:abstractNumId w:val="42"/>
  </w:num>
  <w:num w:numId="38">
    <w:abstractNumId w:val="39"/>
  </w:num>
  <w:num w:numId="39">
    <w:abstractNumId w:val="29"/>
  </w:num>
  <w:num w:numId="40">
    <w:abstractNumId w:val="18"/>
  </w:num>
  <w:num w:numId="41">
    <w:abstractNumId w:val="37"/>
  </w:num>
  <w:num w:numId="42">
    <w:abstractNumId w:val="9"/>
  </w:num>
  <w:num w:numId="43">
    <w:abstractNumId w:val="34"/>
  </w:num>
  <w:num w:numId="44">
    <w:abstractNumId w:val="28"/>
  </w:num>
  <w:num w:numId="45">
    <w:abstractNumId w:val="10"/>
  </w:num>
  <w:num w:numId="46">
    <w:abstractNumId w:val="16"/>
  </w:num>
  <w:num w:numId="4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D48"/>
    <w:rsid w:val="00002988"/>
    <w:rsid w:val="00002FED"/>
    <w:rsid w:val="00007686"/>
    <w:rsid w:val="00014740"/>
    <w:rsid w:val="00027821"/>
    <w:rsid w:val="00027D7C"/>
    <w:rsid w:val="00031266"/>
    <w:rsid w:val="000401B3"/>
    <w:rsid w:val="00065726"/>
    <w:rsid w:val="000674D2"/>
    <w:rsid w:val="000756FD"/>
    <w:rsid w:val="00075961"/>
    <w:rsid w:val="00082617"/>
    <w:rsid w:val="0009614B"/>
    <w:rsid w:val="000A0B94"/>
    <w:rsid w:val="000A0EAF"/>
    <w:rsid w:val="000B02F7"/>
    <w:rsid w:val="000B67FE"/>
    <w:rsid w:val="000C0178"/>
    <w:rsid w:val="000C19B5"/>
    <w:rsid w:val="000C731D"/>
    <w:rsid w:val="000C77E6"/>
    <w:rsid w:val="000E0A48"/>
    <w:rsid w:val="000E1790"/>
    <w:rsid w:val="000F0FDF"/>
    <w:rsid w:val="000F4374"/>
    <w:rsid w:val="00104FB6"/>
    <w:rsid w:val="00107B4F"/>
    <w:rsid w:val="00122235"/>
    <w:rsid w:val="00150A0A"/>
    <w:rsid w:val="0015532F"/>
    <w:rsid w:val="001566BC"/>
    <w:rsid w:val="00164322"/>
    <w:rsid w:val="001717BF"/>
    <w:rsid w:val="001729FA"/>
    <w:rsid w:val="00172DB3"/>
    <w:rsid w:val="0017302B"/>
    <w:rsid w:val="001973B1"/>
    <w:rsid w:val="001B0B50"/>
    <w:rsid w:val="001B3960"/>
    <w:rsid w:val="001C3DBF"/>
    <w:rsid w:val="001C51E5"/>
    <w:rsid w:val="001C6E2E"/>
    <w:rsid w:val="001D2DB3"/>
    <w:rsid w:val="001E087D"/>
    <w:rsid w:val="001E28BD"/>
    <w:rsid w:val="001E71B4"/>
    <w:rsid w:val="001F1756"/>
    <w:rsid w:val="001F42BF"/>
    <w:rsid w:val="001F43C3"/>
    <w:rsid w:val="00201A3D"/>
    <w:rsid w:val="00201F3B"/>
    <w:rsid w:val="0022366F"/>
    <w:rsid w:val="00230A3C"/>
    <w:rsid w:val="00230AE9"/>
    <w:rsid w:val="00235A3C"/>
    <w:rsid w:val="00235A58"/>
    <w:rsid w:val="00242473"/>
    <w:rsid w:val="00257733"/>
    <w:rsid w:val="0026355E"/>
    <w:rsid w:val="0027527A"/>
    <w:rsid w:val="002914F9"/>
    <w:rsid w:val="002916EB"/>
    <w:rsid w:val="002A63A9"/>
    <w:rsid w:val="002B009B"/>
    <w:rsid w:val="002B1C83"/>
    <w:rsid w:val="002B1DE5"/>
    <w:rsid w:val="002C127F"/>
    <w:rsid w:val="002C1B8C"/>
    <w:rsid w:val="002C20DB"/>
    <w:rsid w:val="002C7F8E"/>
    <w:rsid w:val="002D22AA"/>
    <w:rsid w:val="002D36D0"/>
    <w:rsid w:val="002D3894"/>
    <w:rsid w:val="002D78CF"/>
    <w:rsid w:val="002E07C8"/>
    <w:rsid w:val="002E33DE"/>
    <w:rsid w:val="002F2296"/>
    <w:rsid w:val="002F57F1"/>
    <w:rsid w:val="003010B1"/>
    <w:rsid w:val="00310B3E"/>
    <w:rsid w:val="00314397"/>
    <w:rsid w:val="003256CF"/>
    <w:rsid w:val="00325F15"/>
    <w:rsid w:val="003313DC"/>
    <w:rsid w:val="00334B5D"/>
    <w:rsid w:val="00335B64"/>
    <w:rsid w:val="0034058B"/>
    <w:rsid w:val="00341D70"/>
    <w:rsid w:val="00344262"/>
    <w:rsid w:val="00350DFC"/>
    <w:rsid w:val="00355D00"/>
    <w:rsid w:val="00364717"/>
    <w:rsid w:val="00373B29"/>
    <w:rsid w:val="00382A0A"/>
    <w:rsid w:val="00390F40"/>
    <w:rsid w:val="003916DA"/>
    <w:rsid w:val="003919C5"/>
    <w:rsid w:val="003B112A"/>
    <w:rsid w:val="003B2154"/>
    <w:rsid w:val="003B3A81"/>
    <w:rsid w:val="003B6280"/>
    <w:rsid w:val="003D06B8"/>
    <w:rsid w:val="003D7820"/>
    <w:rsid w:val="003F3EEB"/>
    <w:rsid w:val="003F5919"/>
    <w:rsid w:val="0040034B"/>
    <w:rsid w:val="00410ED4"/>
    <w:rsid w:val="00413CF8"/>
    <w:rsid w:val="00423D90"/>
    <w:rsid w:val="00426E75"/>
    <w:rsid w:val="00443286"/>
    <w:rsid w:val="004625FD"/>
    <w:rsid w:val="00465691"/>
    <w:rsid w:val="00470C97"/>
    <w:rsid w:val="004766D6"/>
    <w:rsid w:val="00476F4E"/>
    <w:rsid w:val="00480B69"/>
    <w:rsid w:val="00490B4F"/>
    <w:rsid w:val="0049557C"/>
    <w:rsid w:val="004B67A0"/>
    <w:rsid w:val="004C42A2"/>
    <w:rsid w:val="004C45E1"/>
    <w:rsid w:val="004D41E5"/>
    <w:rsid w:val="004E01BF"/>
    <w:rsid w:val="004E534C"/>
    <w:rsid w:val="004F782B"/>
    <w:rsid w:val="0050002F"/>
    <w:rsid w:val="0050113D"/>
    <w:rsid w:val="00535FAB"/>
    <w:rsid w:val="0054727C"/>
    <w:rsid w:val="00553F7F"/>
    <w:rsid w:val="00560F11"/>
    <w:rsid w:val="00561B13"/>
    <w:rsid w:val="005750BD"/>
    <w:rsid w:val="00580146"/>
    <w:rsid w:val="00582F2B"/>
    <w:rsid w:val="00585286"/>
    <w:rsid w:val="005952B5"/>
    <w:rsid w:val="00596BA0"/>
    <w:rsid w:val="005A524D"/>
    <w:rsid w:val="005A6F99"/>
    <w:rsid w:val="005A79DC"/>
    <w:rsid w:val="005B32B2"/>
    <w:rsid w:val="005B4003"/>
    <w:rsid w:val="005D50E8"/>
    <w:rsid w:val="005E243D"/>
    <w:rsid w:val="005E5C2B"/>
    <w:rsid w:val="005F3BC2"/>
    <w:rsid w:val="00601CB2"/>
    <w:rsid w:val="00603471"/>
    <w:rsid w:val="0060651B"/>
    <w:rsid w:val="0061311B"/>
    <w:rsid w:val="0062034E"/>
    <w:rsid w:val="0062649D"/>
    <w:rsid w:val="00633D17"/>
    <w:rsid w:val="006358D6"/>
    <w:rsid w:val="006456D0"/>
    <w:rsid w:val="00657158"/>
    <w:rsid w:val="00657D48"/>
    <w:rsid w:val="00672B7F"/>
    <w:rsid w:val="0067455E"/>
    <w:rsid w:val="00675BB9"/>
    <w:rsid w:val="006770F0"/>
    <w:rsid w:val="006830A2"/>
    <w:rsid w:val="006847B1"/>
    <w:rsid w:val="00685982"/>
    <w:rsid w:val="00695924"/>
    <w:rsid w:val="006A7127"/>
    <w:rsid w:val="006B0B73"/>
    <w:rsid w:val="006C5EFA"/>
    <w:rsid w:val="006D0F97"/>
    <w:rsid w:val="006D5A24"/>
    <w:rsid w:val="006E708C"/>
    <w:rsid w:val="006E70AF"/>
    <w:rsid w:val="006F1C80"/>
    <w:rsid w:val="006F2BCE"/>
    <w:rsid w:val="006F3DAD"/>
    <w:rsid w:val="00704406"/>
    <w:rsid w:val="007070B8"/>
    <w:rsid w:val="00707B10"/>
    <w:rsid w:val="00711232"/>
    <w:rsid w:val="00744F7A"/>
    <w:rsid w:val="0074615D"/>
    <w:rsid w:val="007546F2"/>
    <w:rsid w:val="00756E4E"/>
    <w:rsid w:val="007643B7"/>
    <w:rsid w:val="00771549"/>
    <w:rsid w:val="00776A41"/>
    <w:rsid w:val="0078594E"/>
    <w:rsid w:val="00786E1B"/>
    <w:rsid w:val="00791BEA"/>
    <w:rsid w:val="00793B4F"/>
    <w:rsid w:val="007A074E"/>
    <w:rsid w:val="007A2787"/>
    <w:rsid w:val="007A2A1D"/>
    <w:rsid w:val="007B6F38"/>
    <w:rsid w:val="007D1B85"/>
    <w:rsid w:val="007D1CD8"/>
    <w:rsid w:val="007D2D03"/>
    <w:rsid w:val="007F54EA"/>
    <w:rsid w:val="008109CA"/>
    <w:rsid w:val="0081235E"/>
    <w:rsid w:val="00833E5C"/>
    <w:rsid w:val="0083687E"/>
    <w:rsid w:val="00837444"/>
    <w:rsid w:val="008450C8"/>
    <w:rsid w:val="008454E2"/>
    <w:rsid w:val="00854BF9"/>
    <w:rsid w:val="00862B9E"/>
    <w:rsid w:val="00877C42"/>
    <w:rsid w:val="008963AF"/>
    <w:rsid w:val="008A2FC1"/>
    <w:rsid w:val="008C322B"/>
    <w:rsid w:val="008D0763"/>
    <w:rsid w:val="008D2841"/>
    <w:rsid w:val="008D3970"/>
    <w:rsid w:val="008D3FA6"/>
    <w:rsid w:val="008D489B"/>
    <w:rsid w:val="008D546D"/>
    <w:rsid w:val="008E5F2C"/>
    <w:rsid w:val="008F3C4C"/>
    <w:rsid w:val="008F49C8"/>
    <w:rsid w:val="009106E4"/>
    <w:rsid w:val="009158D1"/>
    <w:rsid w:val="0092060D"/>
    <w:rsid w:val="00923FAF"/>
    <w:rsid w:val="00937E8D"/>
    <w:rsid w:val="009545EA"/>
    <w:rsid w:val="00956282"/>
    <w:rsid w:val="0095788C"/>
    <w:rsid w:val="009702EA"/>
    <w:rsid w:val="00983201"/>
    <w:rsid w:val="009853E1"/>
    <w:rsid w:val="009A1B42"/>
    <w:rsid w:val="009A42F3"/>
    <w:rsid w:val="009A5602"/>
    <w:rsid w:val="009A7DD7"/>
    <w:rsid w:val="009B489C"/>
    <w:rsid w:val="009B4BA8"/>
    <w:rsid w:val="009C7C07"/>
    <w:rsid w:val="009D2806"/>
    <w:rsid w:val="009D3422"/>
    <w:rsid w:val="009E04B7"/>
    <w:rsid w:val="009E0D32"/>
    <w:rsid w:val="009F7E14"/>
    <w:rsid w:val="00A015D4"/>
    <w:rsid w:val="00A021AD"/>
    <w:rsid w:val="00A048E6"/>
    <w:rsid w:val="00A052AD"/>
    <w:rsid w:val="00A11492"/>
    <w:rsid w:val="00A15CA4"/>
    <w:rsid w:val="00A17E29"/>
    <w:rsid w:val="00A2690A"/>
    <w:rsid w:val="00A328E3"/>
    <w:rsid w:val="00A36582"/>
    <w:rsid w:val="00A43C4B"/>
    <w:rsid w:val="00A50CD5"/>
    <w:rsid w:val="00A51291"/>
    <w:rsid w:val="00A62594"/>
    <w:rsid w:val="00A705BE"/>
    <w:rsid w:val="00A71C10"/>
    <w:rsid w:val="00A731B7"/>
    <w:rsid w:val="00A76F5D"/>
    <w:rsid w:val="00A81B75"/>
    <w:rsid w:val="00A936BA"/>
    <w:rsid w:val="00AA0894"/>
    <w:rsid w:val="00AA572C"/>
    <w:rsid w:val="00AA7B1E"/>
    <w:rsid w:val="00AA7C5B"/>
    <w:rsid w:val="00AB0BD2"/>
    <w:rsid w:val="00AB18F3"/>
    <w:rsid w:val="00AB1D32"/>
    <w:rsid w:val="00AB4FA8"/>
    <w:rsid w:val="00AC4655"/>
    <w:rsid w:val="00AD6CBD"/>
    <w:rsid w:val="00AE24B5"/>
    <w:rsid w:val="00AE7165"/>
    <w:rsid w:val="00AF0269"/>
    <w:rsid w:val="00AF3701"/>
    <w:rsid w:val="00B06367"/>
    <w:rsid w:val="00B12891"/>
    <w:rsid w:val="00B14CE5"/>
    <w:rsid w:val="00B20FA4"/>
    <w:rsid w:val="00B23489"/>
    <w:rsid w:val="00B253FC"/>
    <w:rsid w:val="00B26052"/>
    <w:rsid w:val="00B269EF"/>
    <w:rsid w:val="00B35576"/>
    <w:rsid w:val="00B370FF"/>
    <w:rsid w:val="00B37FF3"/>
    <w:rsid w:val="00B401D5"/>
    <w:rsid w:val="00B62B9B"/>
    <w:rsid w:val="00B71548"/>
    <w:rsid w:val="00B8185F"/>
    <w:rsid w:val="00B9496E"/>
    <w:rsid w:val="00BA77F5"/>
    <w:rsid w:val="00BB4915"/>
    <w:rsid w:val="00BC139E"/>
    <w:rsid w:val="00BC6452"/>
    <w:rsid w:val="00BC7521"/>
    <w:rsid w:val="00BD0923"/>
    <w:rsid w:val="00BE1E61"/>
    <w:rsid w:val="00BF0E07"/>
    <w:rsid w:val="00BF449A"/>
    <w:rsid w:val="00C10C54"/>
    <w:rsid w:val="00C121AD"/>
    <w:rsid w:val="00C24A31"/>
    <w:rsid w:val="00C26117"/>
    <w:rsid w:val="00C2778F"/>
    <w:rsid w:val="00C30AD5"/>
    <w:rsid w:val="00C4055C"/>
    <w:rsid w:val="00C43891"/>
    <w:rsid w:val="00C53395"/>
    <w:rsid w:val="00C53AE5"/>
    <w:rsid w:val="00C62611"/>
    <w:rsid w:val="00C65C3C"/>
    <w:rsid w:val="00C76A53"/>
    <w:rsid w:val="00C8002F"/>
    <w:rsid w:val="00C93C2F"/>
    <w:rsid w:val="00CA43FF"/>
    <w:rsid w:val="00CA47D7"/>
    <w:rsid w:val="00CA4EFA"/>
    <w:rsid w:val="00CA53E4"/>
    <w:rsid w:val="00CC562D"/>
    <w:rsid w:val="00CD2EDB"/>
    <w:rsid w:val="00CD730F"/>
    <w:rsid w:val="00CE5194"/>
    <w:rsid w:val="00CE59D6"/>
    <w:rsid w:val="00D04526"/>
    <w:rsid w:val="00D04B39"/>
    <w:rsid w:val="00D132F3"/>
    <w:rsid w:val="00D24B62"/>
    <w:rsid w:val="00D2780F"/>
    <w:rsid w:val="00D302A6"/>
    <w:rsid w:val="00D30AA7"/>
    <w:rsid w:val="00D355D4"/>
    <w:rsid w:val="00D35A51"/>
    <w:rsid w:val="00D40446"/>
    <w:rsid w:val="00D449B8"/>
    <w:rsid w:val="00D528CC"/>
    <w:rsid w:val="00D52B8C"/>
    <w:rsid w:val="00D572E1"/>
    <w:rsid w:val="00D8350C"/>
    <w:rsid w:val="00D83D0B"/>
    <w:rsid w:val="00D87755"/>
    <w:rsid w:val="00D91F11"/>
    <w:rsid w:val="00D94E38"/>
    <w:rsid w:val="00DA15DD"/>
    <w:rsid w:val="00DC5CE4"/>
    <w:rsid w:val="00DD19D8"/>
    <w:rsid w:val="00DD4F2B"/>
    <w:rsid w:val="00DD518B"/>
    <w:rsid w:val="00DD586D"/>
    <w:rsid w:val="00DE1177"/>
    <w:rsid w:val="00DE363D"/>
    <w:rsid w:val="00DE4D84"/>
    <w:rsid w:val="00DF1957"/>
    <w:rsid w:val="00DF5E4E"/>
    <w:rsid w:val="00E03DF7"/>
    <w:rsid w:val="00E0783E"/>
    <w:rsid w:val="00E104F7"/>
    <w:rsid w:val="00E17663"/>
    <w:rsid w:val="00E236B5"/>
    <w:rsid w:val="00E24EC9"/>
    <w:rsid w:val="00E264FA"/>
    <w:rsid w:val="00E3043F"/>
    <w:rsid w:val="00E41FE4"/>
    <w:rsid w:val="00E462FD"/>
    <w:rsid w:val="00E529D0"/>
    <w:rsid w:val="00E671B8"/>
    <w:rsid w:val="00E745DC"/>
    <w:rsid w:val="00E83061"/>
    <w:rsid w:val="00E873A0"/>
    <w:rsid w:val="00E96C4A"/>
    <w:rsid w:val="00EA52AF"/>
    <w:rsid w:val="00EA62EE"/>
    <w:rsid w:val="00EA6EB0"/>
    <w:rsid w:val="00EB217F"/>
    <w:rsid w:val="00EB25F9"/>
    <w:rsid w:val="00EB353A"/>
    <w:rsid w:val="00EC224C"/>
    <w:rsid w:val="00ED0C36"/>
    <w:rsid w:val="00ED610F"/>
    <w:rsid w:val="00EE04D9"/>
    <w:rsid w:val="00EF3C94"/>
    <w:rsid w:val="00EF6DB8"/>
    <w:rsid w:val="00F048A8"/>
    <w:rsid w:val="00F079DC"/>
    <w:rsid w:val="00F325C7"/>
    <w:rsid w:val="00F37B5D"/>
    <w:rsid w:val="00F42B32"/>
    <w:rsid w:val="00F45ADA"/>
    <w:rsid w:val="00F45F2E"/>
    <w:rsid w:val="00F52BBD"/>
    <w:rsid w:val="00F53F95"/>
    <w:rsid w:val="00F5474B"/>
    <w:rsid w:val="00F71509"/>
    <w:rsid w:val="00F73B6F"/>
    <w:rsid w:val="00F85DA7"/>
    <w:rsid w:val="00F87DC9"/>
    <w:rsid w:val="00F903C1"/>
    <w:rsid w:val="00F90774"/>
    <w:rsid w:val="00F94375"/>
    <w:rsid w:val="00FA4C09"/>
    <w:rsid w:val="00FA62DC"/>
    <w:rsid w:val="00FB1F3F"/>
    <w:rsid w:val="00FB3AD6"/>
    <w:rsid w:val="00FB3FCD"/>
    <w:rsid w:val="00FC4809"/>
    <w:rsid w:val="00FC7F4B"/>
    <w:rsid w:val="00FD47A2"/>
    <w:rsid w:val="00FD47CB"/>
    <w:rsid w:val="00FD516D"/>
    <w:rsid w:val="00FF3D0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DF95C"/>
  <w15:docId w15:val="{1FBD333C-0ABD-4FAB-9BE3-66B334B54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es-PE" w:eastAsia="es-PE" w:bidi="ar-SA"/>
      </w:rPr>
    </w:rPrDefault>
    <w:pPrDefault>
      <w:pPr>
        <w:spacing w:after="240"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pPr>
      <w:spacing w:after="200"/>
      <w:jc w:val="center"/>
      <w:outlineLvl w:val="0"/>
    </w:pPr>
    <w:rPr>
      <w:rFonts w:ascii="Times New Roman" w:eastAsia="Times New Roman" w:hAnsi="Times New Roman" w:cs="Times New Roman"/>
      <w:b/>
    </w:rPr>
  </w:style>
  <w:style w:type="paragraph" w:styleId="Ttulo2">
    <w:name w:val="heading 2"/>
    <w:basedOn w:val="Normal"/>
    <w:next w:val="Normal"/>
    <w:pPr>
      <w:keepNext/>
      <w:keepLines/>
      <w:spacing w:before="40" w:after="0"/>
      <w:ind w:left="576" w:hanging="576"/>
      <w:outlineLvl w:val="1"/>
    </w:pPr>
    <w:rPr>
      <w:color w:val="2F5496"/>
      <w:sz w:val="26"/>
      <w:szCs w:val="26"/>
    </w:rPr>
  </w:style>
  <w:style w:type="paragraph" w:styleId="Ttulo3">
    <w:name w:val="heading 3"/>
    <w:basedOn w:val="Normal"/>
    <w:next w:val="Normal"/>
    <w:pPr>
      <w:keepNext/>
      <w:keepLines/>
      <w:spacing w:before="40" w:after="0"/>
      <w:ind w:left="720" w:hanging="720"/>
      <w:outlineLvl w:val="2"/>
    </w:pPr>
    <w:rPr>
      <w:color w:val="1F3863"/>
    </w:rPr>
  </w:style>
  <w:style w:type="paragraph" w:styleId="Ttulo4">
    <w:name w:val="heading 4"/>
    <w:basedOn w:val="Normal"/>
    <w:next w:val="Normal"/>
    <w:pPr>
      <w:keepNext/>
      <w:keepLines/>
      <w:spacing w:before="40" w:after="0"/>
      <w:ind w:left="864" w:hanging="864"/>
      <w:outlineLvl w:val="3"/>
    </w:pPr>
    <w:rPr>
      <w:i/>
      <w:color w:val="2F5496"/>
    </w:rPr>
  </w:style>
  <w:style w:type="paragraph" w:styleId="Ttulo5">
    <w:name w:val="heading 5"/>
    <w:basedOn w:val="Normal"/>
    <w:next w:val="Normal"/>
    <w:pPr>
      <w:keepNext/>
      <w:keepLines/>
      <w:spacing w:before="40" w:after="0"/>
      <w:ind w:left="1008" w:hanging="1008"/>
      <w:outlineLvl w:val="4"/>
    </w:pPr>
    <w:rPr>
      <w:color w:val="2F5496"/>
    </w:rPr>
  </w:style>
  <w:style w:type="paragraph" w:styleId="Ttulo6">
    <w:name w:val="heading 6"/>
    <w:basedOn w:val="Normal"/>
    <w:next w:val="Normal"/>
    <w:pPr>
      <w:keepNext/>
      <w:keepLines/>
      <w:spacing w:before="40" w:after="0"/>
      <w:ind w:left="1152" w:hanging="1152"/>
      <w:outlineLvl w:val="5"/>
    </w:pPr>
    <w:rPr>
      <w:color w:val="1F3863"/>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0">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1">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2">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3">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a">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b">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c">
    <w:basedOn w:val="TableNormal"/>
    <w:pPr>
      <w:spacing w:after="0" w:line="240" w:lineRule="auto"/>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3F3EEB"/>
    <w:rPr>
      <w:sz w:val="16"/>
      <w:szCs w:val="16"/>
    </w:rPr>
  </w:style>
  <w:style w:type="paragraph" w:styleId="Textocomentario">
    <w:name w:val="annotation text"/>
    <w:basedOn w:val="Normal"/>
    <w:link w:val="TextocomentarioCar"/>
    <w:uiPriority w:val="99"/>
    <w:unhideWhenUsed/>
    <w:rsid w:val="003F3EEB"/>
    <w:pPr>
      <w:spacing w:line="240" w:lineRule="auto"/>
    </w:pPr>
    <w:rPr>
      <w:sz w:val="20"/>
      <w:szCs w:val="20"/>
    </w:rPr>
  </w:style>
  <w:style w:type="character" w:customStyle="1" w:styleId="TextocomentarioCar">
    <w:name w:val="Texto comentario Car"/>
    <w:basedOn w:val="Fuentedeprrafopredeter"/>
    <w:link w:val="Textocomentario"/>
    <w:uiPriority w:val="99"/>
    <w:rsid w:val="003F3EEB"/>
    <w:rPr>
      <w:sz w:val="20"/>
      <w:szCs w:val="20"/>
    </w:rPr>
  </w:style>
  <w:style w:type="paragraph" w:styleId="Asuntodelcomentario">
    <w:name w:val="annotation subject"/>
    <w:basedOn w:val="Textocomentario"/>
    <w:next w:val="Textocomentario"/>
    <w:link w:val="AsuntodelcomentarioCar"/>
    <w:uiPriority w:val="99"/>
    <w:semiHidden/>
    <w:unhideWhenUsed/>
    <w:rsid w:val="003F3EEB"/>
    <w:rPr>
      <w:b/>
      <w:bCs/>
    </w:rPr>
  </w:style>
  <w:style w:type="character" w:customStyle="1" w:styleId="AsuntodelcomentarioCar">
    <w:name w:val="Asunto del comentario Car"/>
    <w:basedOn w:val="TextocomentarioCar"/>
    <w:link w:val="Asuntodelcomentario"/>
    <w:uiPriority w:val="99"/>
    <w:semiHidden/>
    <w:rsid w:val="003F3EEB"/>
    <w:rPr>
      <w:b/>
      <w:bCs/>
      <w:sz w:val="20"/>
      <w:szCs w:val="20"/>
    </w:rPr>
  </w:style>
  <w:style w:type="paragraph" w:styleId="Textodeglobo">
    <w:name w:val="Balloon Text"/>
    <w:basedOn w:val="Normal"/>
    <w:link w:val="TextodegloboCar"/>
    <w:uiPriority w:val="99"/>
    <w:semiHidden/>
    <w:unhideWhenUsed/>
    <w:rsid w:val="003F3EE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F3EEB"/>
    <w:rPr>
      <w:rFonts w:ascii="Segoe UI" w:hAnsi="Segoe UI" w:cs="Segoe UI"/>
      <w:sz w:val="18"/>
      <w:szCs w:val="18"/>
    </w:rPr>
  </w:style>
  <w:style w:type="paragraph" w:styleId="Prrafodelista">
    <w:name w:val="List Paragraph"/>
    <w:aliases w:val="Iz - Párrafo de lista,Sivsa Parrafo,Titulo de Fígura,Cita Pie de Página,titulo,Titulo 1,bei normal,Ha,TITULO A,Titulo parrafo,Punto,List Paragraph-Thesis,Cuadro 2-1,Párrafo de lista2,List Paragraph,Párrafo de lista21,Number List 1"/>
    <w:basedOn w:val="Normal"/>
    <w:link w:val="PrrafodelistaCar"/>
    <w:uiPriority w:val="34"/>
    <w:qFormat/>
    <w:rsid w:val="006E708C"/>
    <w:pPr>
      <w:ind w:left="720"/>
      <w:contextualSpacing/>
    </w:pPr>
  </w:style>
  <w:style w:type="paragraph" w:styleId="Textonotapie">
    <w:name w:val="footnote text"/>
    <w:aliases w:val="Footnote Text Char1,Footnote Text Char Char,ft,Char,Geneva 9,Font: Geneva 9,Boston 10,f,fn,footnote text,Footnote Text Char2 Char,Footnote Text Char1 Char Char,Footnote Text Char2 Char Char Char,Footnote Text Char1 Char Char Char Char,Car"/>
    <w:basedOn w:val="Normal"/>
    <w:link w:val="TextonotapieCar"/>
    <w:uiPriority w:val="99"/>
    <w:unhideWhenUsed/>
    <w:qFormat/>
    <w:rsid w:val="00672B7F"/>
    <w:pPr>
      <w:spacing w:after="0" w:line="240" w:lineRule="auto"/>
    </w:pPr>
    <w:rPr>
      <w:sz w:val="20"/>
      <w:szCs w:val="20"/>
    </w:rPr>
  </w:style>
  <w:style w:type="character" w:customStyle="1" w:styleId="TextonotapieCar">
    <w:name w:val="Texto nota pie Car"/>
    <w:aliases w:val="Footnote Text Char1 Car,Footnote Text Char Char Car,ft Car,Char Car,Geneva 9 Car,Font: Geneva 9 Car,Boston 10 Car,f Car,fn Car,footnote text Car,Footnote Text Char2 Char Car,Footnote Text Char1 Char Char Car,Car Car"/>
    <w:basedOn w:val="Fuentedeprrafopredeter"/>
    <w:link w:val="Textonotapie"/>
    <w:uiPriority w:val="99"/>
    <w:qFormat/>
    <w:rsid w:val="00672B7F"/>
    <w:rPr>
      <w:sz w:val="20"/>
      <w:szCs w:val="20"/>
    </w:rPr>
  </w:style>
  <w:style w:type="character" w:styleId="Refdenotaalpie">
    <w:name w:val="footnote reference"/>
    <w:aliases w:val="BVI fnr Car Car Car Car, BVI fnr Car Car Car Car,ftref Car Car Car Car Car Car Car Car Car, BVI fnr Char Car Car Car Car Car Car Car Car Car Car,BVI fnr Char Car Car Car Car Car Car Car Car Car Car,BVI fnr Car Car1,16 Point,ftref,Ref"/>
    <w:link w:val="BVIfnrCarCarCar"/>
    <w:uiPriority w:val="99"/>
    <w:unhideWhenUsed/>
    <w:qFormat/>
    <w:rsid w:val="00672B7F"/>
    <w:rPr>
      <w:vertAlign w:val="superscript"/>
    </w:rPr>
  </w:style>
  <w:style w:type="character" w:styleId="Hipervnculo">
    <w:name w:val="Hyperlink"/>
    <w:basedOn w:val="Fuentedeprrafopredeter"/>
    <w:uiPriority w:val="99"/>
    <w:unhideWhenUsed/>
    <w:rsid w:val="008F3C4C"/>
    <w:rPr>
      <w:color w:val="0563C1"/>
      <w:u w:val="single"/>
    </w:rPr>
  </w:style>
  <w:style w:type="character" w:customStyle="1" w:styleId="PrrafodelistaCar">
    <w:name w:val="Párrafo de lista Car"/>
    <w:aliases w:val="Iz - Párrafo de lista Car,Sivsa Parrafo Car,Titulo de Fígura Car,Cita Pie de Página Car,titulo Car,Titulo 1 Car,bei normal Car,Ha Car,TITULO A Car,Titulo parrafo Car,Punto Car,List Paragraph-Thesis Car,Cuadro 2-1 Car"/>
    <w:link w:val="Prrafodelista"/>
    <w:uiPriority w:val="34"/>
    <w:qFormat/>
    <w:locked/>
    <w:rsid w:val="00AE7165"/>
  </w:style>
  <w:style w:type="paragraph" w:styleId="NormalWeb">
    <w:name w:val="Normal (Web)"/>
    <w:basedOn w:val="Normal"/>
    <w:uiPriority w:val="99"/>
    <w:unhideWhenUsed/>
    <w:rsid w:val="008D3970"/>
    <w:rPr>
      <w:rFonts w:ascii="Times New Roman" w:hAnsi="Times New Roman" w:cs="Times New Roman"/>
    </w:rPr>
  </w:style>
  <w:style w:type="paragraph" w:customStyle="1" w:styleId="BVIfnrCarCarCar">
    <w:name w:val="BVI fnr Car Car Car"/>
    <w:aliases w:val=" BVI fnr Car Car Car,ftref Car Car Car Car Car Car Car Car, BVI fnr Char Car Car Car Car Car Car Car Car Car,BVI fnr Char Car Car Car Car Car Car Car Car Car,BVI fnr"/>
    <w:basedOn w:val="Normal"/>
    <w:link w:val="Refdenotaalpie"/>
    <w:uiPriority w:val="99"/>
    <w:rsid w:val="00A11492"/>
    <w:pPr>
      <w:spacing w:after="160" w:line="240" w:lineRule="exact"/>
    </w:pPr>
    <w:rPr>
      <w:vertAlign w:val="superscript"/>
    </w:rPr>
  </w:style>
  <w:style w:type="table" w:styleId="Tablaconcuadrcula">
    <w:name w:val="Table Grid"/>
    <w:basedOn w:val="Tablanormal"/>
    <w:uiPriority w:val="39"/>
    <w:rsid w:val="00A11492"/>
    <w:pPr>
      <w:spacing w:after="0" w:line="240" w:lineRule="auto"/>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F87DC9"/>
    <w:rPr>
      <w:color w:val="605E5C"/>
      <w:shd w:val="clear" w:color="auto" w:fill="E1DFDD"/>
    </w:rPr>
  </w:style>
  <w:style w:type="paragraph" w:styleId="Revisin">
    <w:name w:val="Revision"/>
    <w:hidden/>
    <w:uiPriority w:val="99"/>
    <w:semiHidden/>
    <w:rsid w:val="002E33DE"/>
    <w:pPr>
      <w:spacing w:after="0" w:line="240" w:lineRule="auto"/>
    </w:pPr>
  </w:style>
  <w:style w:type="character" w:customStyle="1" w:styleId="Ttulo1Car">
    <w:name w:val="Título 1 Car"/>
    <w:basedOn w:val="Fuentedeprrafopredeter"/>
    <w:link w:val="Ttulo1"/>
    <w:rsid w:val="00F37B5D"/>
    <w:rPr>
      <w:rFonts w:ascii="Times New Roman" w:eastAsia="Times New Roman" w:hAnsi="Times New Roman" w:cs="Times New Roman"/>
      <w:b/>
    </w:rPr>
  </w:style>
  <w:style w:type="paragraph" w:styleId="Encabezado">
    <w:name w:val="header"/>
    <w:basedOn w:val="Normal"/>
    <w:link w:val="EncabezadoCar"/>
    <w:uiPriority w:val="99"/>
    <w:unhideWhenUsed/>
    <w:rsid w:val="00A015D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015D4"/>
  </w:style>
  <w:style w:type="paragraph" w:styleId="Piedepgina">
    <w:name w:val="footer"/>
    <w:basedOn w:val="Normal"/>
    <w:link w:val="PiedepginaCar"/>
    <w:uiPriority w:val="99"/>
    <w:unhideWhenUsed/>
    <w:rsid w:val="00A015D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015D4"/>
  </w:style>
  <w:style w:type="paragraph" w:styleId="TDC1">
    <w:name w:val="toc 1"/>
    <w:basedOn w:val="Normal"/>
    <w:next w:val="Normal"/>
    <w:autoRedefine/>
    <w:uiPriority w:val="39"/>
    <w:unhideWhenUsed/>
    <w:rsid w:val="00B12891"/>
    <w:pPr>
      <w:spacing w:after="100"/>
    </w:pPr>
  </w:style>
  <w:style w:type="paragraph" w:styleId="TDC2">
    <w:name w:val="toc 2"/>
    <w:basedOn w:val="Normal"/>
    <w:next w:val="Normal"/>
    <w:autoRedefine/>
    <w:uiPriority w:val="39"/>
    <w:unhideWhenUsed/>
    <w:rsid w:val="00B12891"/>
    <w:pPr>
      <w:spacing w:after="100"/>
      <w:ind w:left="240"/>
    </w:pPr>
  </w:style>
  <w:style w:type="paragraph" w:styleId="Descripcin">
    <w:name w:val="caption"/>
    <w:basedOn w:val="Normal"/>
    <w:next w:val="Normal"/>
    <w:uiPriority w:val="35"/>
    <w:unhideWhenUsed/>
    <w:qFormat/>
    <w:rsid w:val="00AF3701"/>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DC5CE4"/>
    <w:pPr>
      <w:spacing w:after="0"/>
    </w:pPr>
  </w:style>
  <w:style w:type="paragraph" w:styleId="Textoindependiente">
    <w:name w:val="Body Text"/>
    <w:basedOn w:val="Normal"/>
    <w:link w:val="TextoindependienteCar"/>
    <w:uiPriority w:val="1"/>
    <w:qFormat/>
    <w:rsid w:val="003D7820"/>
    <w:pPr>
      <w:widowControl w:val="0"/>
      <w:autoSpaceDE w:val="0"/>
      <w:autoSpaceDN w:val="0"/>
      <w:spacing w:after="0" w:line="240" w:lineRule="auto"/>
    </w:pPr>
    <w:rPr>
      <w:rFonts w:ascii="Times New Roman" w:eastAsia="Times New Roman" w:hAnsi="Times New Roman" w:cs="Times New Roman"/>
      <w:lang w:val="es-ES" w:eastAsia="en-US"/>
    </w:rPr>
  </w:style>
  <w:style w:type="character" w:customStyle="1" w:styleId="TextoindependienteCar">
    <w:name w:val="Texto independiente Car"/>
    <w:basedOn w:val="Fuentedeprrafopredeter"/>
    <w:link w:val="Textoindependiente"/>
    <w:uiPriority w:val="1"/>
    <w:rsid w:val="003D7820"/>
    <w:rPr>
      <w:rFonts w:ascii="Times New Roman" w:eastAsia="Times New Roman" w:hAnsi="Times New Roman" w:cs="Times New Roman"/>
      <w:lang w:val="es-ES" w:eastAsia="en-US"/>
    </w:rPr>
  </w:style>
  <w:style w:type="paragraph" w:customStyle="1" w:styleId="TableParagraph">
    <w:name w:val="Table Paragraph"/>
    <w:basedOn w:val="Normal"/>
    <w:uiPriority w:val="1"/>
    <w:qFormat/>
    <w:rsid w:val="007D1B85"/>
    <w:pPr>
      <w:widowControl w:val="0"/>
      <w:autoSpaceDE w:val="0"/>
      <w:autoSpaceDN w:val="0"/>
      <w:spacing w:after="0" w:line="240" w:lineRule="auto"/>
    </w:pPr>
    <w:rPr>
      <w:rFonts w:ascii="Times New Roman" w:eastAsia="Times New Roman" w:hAnsi="Times New Roman" w:cs="Times New Roman"/>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567981">
      <w:bodyDiv w:val="1"/>
      <w:marLeft w:val="0"/>
      <w:marRight w:val="0"/>
      <w:marTop w:val="0"/>
      <w:marBottom w:val="0"/>
      <w:divBdr>
        <w:top w:val="none" w:sz="0" w:space="0" w:color="auto"/>
        <w:left w:val="none" w:sz="0" w:space="0" w:color="auto"/>
        <w:bottom w:val="none" w:sz="0" w:space="0" w:color="auto"/>
        <w:right w:val="none" w:sz="0" w:space="0" w:color="auto"/>
      </w:divBdr>
    </w:div>
    <w:div w:id="482084340">
      <w:bodyDiv w:val="1"/>
      <w:marLeft w:val="0"/>
      <w:marRight w:val="0"/>
      <w:marTop w:val="0"/>
      <w:marBottom w:val="0"/>
      <w:divBdr>
        <w:top w:val="none" w:sz="0" w:space="0" w:color="auto"/>
        <w:left w:val="none" w:sz="0" w:space="0" w:color="auto"/>
        <w:bottom w:val="none" w:sz="0" w:space="0" w:color="auto"/>
        <w:right w:val="none" w:sz="0" w:space="0" w:color="auto"/>
      </w:divBdr>
    </w:div>
    <w:div w:id="685326414">
      <w:bodyDiv w:val="1"/>
      <w:marLeft w:val="0"/>
      <w:marRight w:val="0"/>
      <w:marTop w:val="0"/>
      <w:marBottom w:val="0"/>
      <w:divBdr>
        <w:top w:val="none" w:sz="0" w:space="0" w:color="auto"/>
        <w:left w:val="none" w:sz="0" w:space="0" w:color="auto"/>
        <w:bottom w:val="none" w:sz="0" w:space="0" w:color="auto"/>
        <w:right w:val="none" w:sz="0" w:space="0" w:color="auto"/>
      </w:divBdr>
    </w:div>
    <w:div w:id="762456058">
      <w:bodyDiv w:val="1"/>
      <w:marLeft w:val="0"/>
      <w:marRight w:val="0"/>
      <w:marTop w:val="0"/>
      <w:marBottom w:val="0"/>
      <w:divBdr>
        <w:top w:val="none" w:sz="0" w:space="0" w:color="auto"/>
        <w:left w:val="none" w:sz="0" w:space="0" w:color="auto"/>
        <w:bottom w:val="none" w:sz="0" w:space="0" w:color="auto"/>
        <w:right w:val="none" w:sz="0" w:space="0" w:color="auto"/>
      </w:divBdr>
    </w:div>
    <w:div w:id="801193253">
      <w:bodyDiv w:val="1"/>
      <w:marLeft w:val="0"/>
      <w:marRight w:val="0"/>
      <w:marTop w:val="0"/>
      <w:marBottom w:val="0"/>
      <w:divBdr>
        <w:top w:val="none" w:sz="0" w:space="0" w:color="auto"/>
        <w:left w:val="none" w:sz="0" w:space="0" w:color="auto"/>
        <w:bottom w:val="none" w:sz="0" w:space="0" w:color="auto"/>
        <w:right w:val="none" w:sz="0" w:space="0" w:color="auto"/>
      </w:divBdr>
    </w:div>
    <w:div w:id="977689528">
      <w:bodyDiv w:val="1"/>
      <w:marLeft w:val="0"/>
      <w:marRight w:val="0"/>
      <w:marTop w:val="0"/>
      <w:marBottom w:val="0"/>
      <w:divBdr>
        <w:top w:val="none" w:sz="0" w:space="0" w:color="auto"/>
        <w:left w:val="none" w:sz="0" w:space="0" w:color="auto"/>
        <w:bottom w:val="none" w:sz="0" w:space="0" w:color="auto"/>
        <w:right w:val="none" w:sz="0" w:space="0" w:color="auto"/>
      </w:divBdr>
    </w:div>
    <w:div w:id="1135492753">
      <w:bodyDiv w:val="1"/>
      <w:marLeft w:val="0"/>
      <w:marRight w:val="0"/>
      <w:marTop w:val="0"/>
      <w:marBottom w:val="0"/>
      <w:divBdr>
        <w:top w:val="none" w:sz="0" w:space="0" w:color="auto"/>
        <w:left w:val="none" w:sz="0" w:space="0" w:color="auto"/>
        <w:bottom w:val="none" w:sz="0" w:space="0" w:color="auto"/>
        <w:right w:val="none" w:sz="0" w:space="0" w:color="auto"/>
      </w:divBdr>
    </w:div>
    <w:div w:id="1662808912">
      <w:bodyDiv w:val="1"/>
      <w:marLeft w:val="0"/>
      <w:marRight w:val="0"/>
      <w:marTop w:val="0"/>
      <w:marBottom w:val="0"/>
      <w:divBdr>
        <w:top w:val="none" w:sz="0" w:space="0" w:color="auto"/>
        <w:left w:val="none" w:sz="0" w:space="0" w:color="auto"/>
        <w:bottom w:val="none" w:sz="0" w:space="0" w:color="auto"/>
        <w:right w:val="none" w:sz="0" w:space="0" w:color="auto"/>
      </w:divBdr>
    </w:div>
    <w:div w:id="2020111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42" Type="http://schemas.openxmlformats.org/officeDocument/2006/relationships/hyperlink" Target="https://www.revistareder.com/ojs/index.php/reder/article/view/54/57" TargetMode="External"/><Relationship Id="rId47" Type="http://schemas.openxmlformats.org/officeDocument/2006/relationships/hyperlink" Target="https://www.esan.edu.pe/conexion-esan/que-son-competencias" TargetMode="External"/><Relationship Id="rId63" Type="http://schemas.openxmlformats.org/officeDocument/2006/relationships/hyperlink" Target="http://www.eleconomista.es/economia/noticias/8090136/01/17/Economia-Las-perdidas-economicas-asociadas-a-desastres-naturales-alcanzan-los-210000-millones-de-dolares-en-2016.html" TargetMode="External"/><Relationship Id="rId68"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3.png"/><Relationship Id="rId11" Type="http://schemas.openxmlformats.org/officeDocument/2006/relationships/header" Target="header2.xml"/><Relationship Id="rId24" Type="http://schemas.openxmlformats.org/officeDocument/2006/relationships/image" Target="media/image8.png"/><Relationship Id="rId32" Type="http://schemas.openxmlformats.org/officeDocument/2006/relationships/hyperlink" Target="http://cidbimena.desastres.hn/docum/crid/Mayo2004/pdf/spa/doc15036/doc15036-contenido.pdf" TargetMode="External"/><Relationship Id="rId37" Type="http://schemas.openxmlformats.org/officeDocument/2006/relationships/hyperlink" Target="https://hdl.handle.net/20.500.12692/84631" TargetMode="External"/><Relationship Id="rId40" Type="http://schemas.openxmlformats.org/officeDocument/2006/relationships/hyperlink" Target="https://www.lizardo-carvajal.com/wp-content/uploads/2019/02/Metodologi%CC%81a-de-la-investigacio%CC%81n.pdf" TargetMode="External"/><Relationship Id="rId45" Type="http://schemas.openxmlformats.org/officeDocument/2006/relationships/hyperlink" Target="https://www.comunidadandina.org/tag/caprade/" TargetMode="External"/><Relationship Id="rId53" Type="http://schemas.openxmlformats.org/officeDocument/2006/relationships/hyperlink" Target="http://blog.pucp.edu.pe/blog/christianguzmannapuri/2008/02/20/la-competencia/" TargetMode="External"/><Relationship Id="rId58" Type="http://schemas.openxmlformats.org/officeDocument/2006/relationships/hyperlink" Target="https://alicia.concytec.gob.pe/vufind/Author/Home?author=Carbajal+Medina%2C+Nicole+Elizabeth" TargetMode="External"/><Relationship Id="rId66" Type="http://schemas.openxmlformats.org/officeDocument/2006/relationships/footer" Target="footer6.xml"/><Relationship Id="rId5" Type="http://schemas.openxmlformats.org/officeDocument/2006/relationships/webSettings" Target="webSettings.xml"/><Relationship Id="rId61" Type="http://schemas.openxmlformats.org/officeDocument/2006/relationships/hyperlink" Target="http://hdl.handle.net/10644/7975" TargetMode="External"/><Relationship Id="rId19" Type="http://schemas.openxmlformats.org/officeDocument/2006/relationships/image" Target="media/image3.pn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footer" Target="footer5.xml"/><Relationship Id="rId35" Type="http://schemas.openxmlformats.org/officeDocument/2006/relationships/hyperlink" Target="https://acortar.link/UojSA" TargetMode="External"/><Relationship Id="rId43" Type="http://schemas.openxmlformats.org/officeDocument/2006/relationships/hyperlink" Target="http://bvpad.indeci.gob.pe/doc/pdf/esp/doc1683/doc1683.htm" TargetMode="External"/><Relationship Id="rId48" Type="http://schemas.openxmlformats.org/officeDocument/2006/relationships/hyperlink" Target="http://repositorio.espe.edu.ec/handle/21000/14020" TargetMode="External"/><Relationship Id="rId56" Type="http://schemas.openxmlformats.org/officeDocument/2006/relationships/hyperlink" Target="https://hdl.handle.net/20.500.12692/65122" TargetMode="External"/><Relationship Id="rId64" Type="http://schemas.openxmlformats.org/officeDocument/2006/relationships/hyperlink" Target="https://hdl.handle.net/20.500.12692/59588" TargetMode="External"/><Relationship Id="rId69" Type="http://schemas.openxmlformats.org/officeDocument/2006/relationships/image" Target="media/image15.tiff"/><Relationship Id="rId8" Type="http://schemas.openxmlformats.org/officeDocument/2006/relationships/image" Target="media/image1.png"/><Relationship Id="rId51" Type="http://schemas.openxmlformats.org/officeDocument/2006/relationships/hyperlink" Target="http://www.biblioteca.cij.gob.mx/Archivos/Materiales_de_consulta/Drogas_de_Abuso/Articulos/SampieriLasRutas.pdf"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image" Target="media/image9.png"/><Relationship Id="rId33" Type="http://schemas.openxmlformats.org/officeDocument/2006/relationships/hyperlink" Target="https://repositorio.up.edu.pe/bitstream/handle/11354/1135/Manuel_Tesis_maestria_2016.pdf?sequence=1" TargetMode="External"/><Relationship Id="rId38" Type="http://schemas.openxmlformats.org/officeDocument/2006/relationships/hyperlink" Target="https://abacoenred.com/wp-content/uploads/2019/02/El-proyecto-de-investigaci%C3%B3n-F.G.-Arias-2012-pdf.pdf" TargetMode="External"/><Relationship Id="rId46" Type="http://schemas.openxmlformats.org/officeDocument/2006/relationships/hyperlink" Target="http://repositorio.iaen.edu.ec/handle/24000/4952" TargetMode="External"/><Relationship Id="rId59" Type="http://schemas.openxmlformats.org/officeDocument/2006/relationships/hyperlink" Target="https://alicia.concytec.gob.pe/vufind/Record/UASF_38e32aebbb2fdbe18a5af549ac45f21e" TargetMode="External"/><Relationship Id="rId67" Type="http://schemas.openxmlformats.org/officeDocument/2006/relationships/image" Target="media/image14.png"/><Relationship Id="rId20" Type="http://schemas.openxmlformats.org/officeDocument/2006/relationships/image" Target="media/image4.png"/><Relationship Id="rId41" Type="http://schemas.openxmlformats.org/officeDocument/2006/relationships/hyperlink" Target="https://busquedas.elperuano.pe/normaslegales/decreto-legislativo-del-comando-conjunto-de-las-fuerzas-arma-decreto-legislativo-n-1136-876207-3/" TargetMode="External"/><Relationship Id="rId54" Type="http://schemas.openxmlformats.org/officeDocument/2006/relationships/hyperlink" Target="http://www.bvsde.paho.org/bvsacd/cd29/riesgo-apuntes.pdf" TargetMode="External"/><Relationship Id="rId62" Type="http://schemas.openxmlformats.org/officeDocument/2006/relationships/hyperlink" Target="https://hdl.handle.net/20.500.12692/84631" TargetMode="External"/><Relationship Id="rId70"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ojs.tdea.edu.co/index.php/senderos/article/view/27" TargetMode="External"/><Relationship Id="rId49" Type="http://schemas.openxmlformats.org/officeDocument/2006/relationships/hyperlink" Target="http://ceaa.espoch.edu.ec:8080/revista.perfiles/faces/Articulos/Perfiles21Art1.pdf" TargetMode="External"/><Relationship Id="rId57" Type="http://schemas.openxmlformats.org/officeDocument/2006/relationships/hyperlink" Target="https://www.unisdr.org/files/43291_spanishsendaiframeworkfordisasterri.pdf" TargetMode="External"/><Relationship Id="rId10" Type="http://schemas.openxmlformats.org/officeDocument/2006/relationships/footer" Target="footer1.xml"/><Relationship Id="rId31" Type="http://schemas.openxmlformats.org/officeDocument/2006/relationships/header" Target="header6.xml"/><Relationship Id="rId44" Type="http://schemas.openxmlformats.org/officeDocument/2006/relationships/hyperlink" Target="https://www.comunidadandina.org/temas/dg3/prevencion-de-desastres/" TargetMode="External"/><Relationship Id="rId52" Type="http://schemas.openxmlformats.org/officeDocument/2006/relationships/hyperlink" Target="http://dx.doi.org/10.21830/19006586.319" TargetMode="External"/><Relationship Id="rId60" Type="http://schemas.openxmlformats.org/officeDocument/2006/relationships/hyperlink" Target="https://www.desenredando.org/public/libros/1993/ldnsn/html/cap3.htm" TargetMode="External"/><Relationship Id="rId65" Type="http://schemas.openxmlformats.org/officeDocument/2006/relationships/header" Target="header7.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2.png"/><Relationship Id="rId39" Type="http://schemas.openxmlformats.org/officeDocument/2006/relationships/hyperlink" Target="https://www.desenredando.org/public/libros/1996/vesped/vesped-todo_sep-09-2002.pdf" TargetMode="External"/><Relationship Id="rId34" Type="http://schemas.openxmlformats.org/officeDocument/2006/relationships/hyperlink" Target="http://repositorio.uchile.cl/handle/2250/101170" TargetMode="External"/><Relationship Id="rId50" Type="http://schemas.openxmlformats.org/officeDocument/2006/relationships/hyperlink" Target="https://repositorio.continental.edu.pe/bitstream/20.500.12394/4278/1/DO_UC_EG_MAI_UC0584_2018.pdf" TargetMode="External"/><Relationship Id="rId55" Type="http://schemas.openxmlformats.org/officeDocument/2006/relationships/hyperlink" Target="https://ddd.uab.cat/pub/caplli/2016/163567/metinvsoccua_a2016_cap2-3.pdf" TargetMode="External"/><Relationship Id="rId7" Type="http://schemas.openxmlformats.org/officeDocument/2006/relationships/endnotes" Target="endnotes.xml"/><Relationship Id="rId7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1C4A8-F702-49C2-BD1D-6454AE761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TotalTime>
  <Pages>131</Pages>
  <Words>33373</Words>
  <Characters>183557</Characters>
  <Application>Microsoft Office Word</Application>
  <DocSecurity>0</DocSecurity>
  <Lines>1529</Lines>
  <Paragraphs>432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QUIROZ Miranda</dc:creator>
  <cp:lastModifiedBy>Wenddy Saldaña Zamora</cp:lastModifiedBy>
  <cp:revision>96</cp:revision>
  <cp:lastPrinted>2022-10-24T20:55:00Z</cp:lastPrinted>
  <dcterms:created xsi:type="dcterms:W3CDTF">2022-10-03T14:30:00Z</dcterms:created>
  <dcterms:modified xsi:type="dcterms:W3CDTF">2022-11-28T14:36:00Z</dcterms:modified>
</cp:coreProperties>
</file>